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21CFD">
      <w:pPr>
        <w:pStyle w:val="2"/>
        <w:keepNext w:val="0"/>
        <w:keepLines w:val="0"/>
        <w:widowControl/>
        <w:suppressLineNumbers w:val="0"/>
        <w:spacing w:before="0" w:beforeAutospacing="0" w:line="315" w:lineRule="atLeast"/>
        <w:ind w:left="810" w:hanging="810" w:hangingChars="300"/>
        <w:rPr>
          <w:rFonts w:hint="eastAsia" w:ascii="方正小标宋简体" w:hAnsi="方正小标宋简体" w:eastAsia="方正小标宋简体" w:cs="方正小标宋简体"/>
          <w:i w:val="0"/>
          <w:caps w:val="0"/>
          <w:color w:val="000000"/>
          <w:spacing w:val="0"/>
          <w:sz w:val="27"/>
          <w:szCs w:val="27"/>
        </w:rPr>
      </w:pPr>
      <w:r>
        <w:rPr>
          <w:rFonts w:hint="eastAsia" w:ascii="方正小标宋简体" w:hAnsi="方正小标宋简体" w:eastAsia="方正小标宋简体" w:cs="方正小标宋简体"/>
          <w:i w:val="0"/>
          <w:caps w:val="0"/>
          <w:color w:val="000000"/>
          <w:spacing w:val="0"/>
          <w:sz w:val="27"/>
          <w:szCs w:val="27"/>
        </w:rPr>
        <w:t>　</w:t>
      </w:r>
      <w:r>
        <w:rPr>
          <w:rFonts w:hint="eastAsia" w:ascii="方正小标宋简体" w:hAnsi="方正小标宋简体" w:eastAsia="方正小标宋简体" w:cs="方正小标宋简体"/>
          <w:i w:val="0"/>
          <w:caps w:val="0"/>
          <w:color w:val="000000"/>
          <w:spacing w:val="0"/>
          <w:sz w:val="44"/>
          <w:szCs w:val="44"/>
        </w:rPr>
        <w:t>北京市人民政府国有资产监督管理委员会2019年政府信息公开工作年度报告</w:t>
      </w:r>
    </w:p>
    <w:p w14:paraId="05679385">
      <w:pPr>
        <w:pStyle w:val="2"/>
        <w:keepNext w:val="0"/>
        <w:keepLines w:val="0"/>
        <w:widowControl/>
        <w:suppressLineNumbers w:val="0"/>
        <w:spacing w:before="0" w:beforeAutospacing="0" w:line="315" w:lineRule="atLeast"/>
        <w:ind w:lef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一、总体情况</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依据《中华人民共和国政府信息公开条例》第五十条之规定，制作本报告。</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2019年，市国资委深入学习贯彻习近平新时代中国特色社会主义思想和党的十九大、十九届二中、三中、四中全会精神，全面落实国办和本市关于政务公开工作的部署要求，加大主动公开力度，认真办理依申请公开，充分发挥国有资产监督管理信息对社会公众生产、生活的服务作用。</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1.主动公开情况</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加强主动公开。充分发挥市国资委门户网站作为我委主动公开信息的主渠道作用，2019年共发布信息1739条。在首都之窗信息公开专栏主动公开政府信息76条，其中，主动公开重点领域国资监管信息62条。主动公开规范性文件5件。</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加强政策解读。主要负责人带头解读政策，</w:t>
      </w:r>
      <w:bookmarkStart w:id="0" w:name="_GoBack"/>
      <w:bookmarkEnd w:id="0"/>
      <w:r>
        <w:rPr>
          <w:rFonts w:hint="eastAsia" w:ascii="仿宋" w:hAnsi="仿宋" w:eastAsia="仿宋" w:cs="仿宋"/>
          <w:i w:val="0"/>
          <w:caps w:val="0"/>
          <w:color w:val="000000"/>
          <w:spacing w:val="0"/>
          <w:sz w:val="32"/>
          <w:szCs w:val="32"/>
        </w:rPr>
        <w:t>在北京市属国企混合所有制改革专题研讨会上围绕《市属国有企业混合所有制改革操作指引》作深入解读。市国资委在主动公开规范性文件的同时，均进行了政策解读。发布图解《北京市市管企业工资总额管理办法》、图解《市属国有企业混合所有制改革操作指引》等，进一步增强解读效果。通过首都之窗、首都建设报、国资京京微信公众号等多种方式，不断加大解读力度。</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加强决策公开。涉及企业的规范性文件在制定过程中，通过多种途径广泛征求市管企业意见。推进政策执行公开，按照市政府绩效办统一要求，按季度在市国资委网站向社会公开本单位承办的市政府工作报告重点任务进展情况。</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2.依申请公开情况</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2019年，我委共收到134件信息公开申请，上年结转2件信息公开申请。135件全部办结，其中98件答复为"予以公开"，1件答复为"部分公开"，2件答复为"不予公开"，22件答复为"无法提供"，12件答复为"其他处理",1件结转2020年继续办理。申请人对答复情况基本满意。</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3.政府信息资源的规范化、标准化管理情况</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一是按照市国资委政务公开全清单，全面公开国资监管信息。包括主要财务指标完成情况、国有资产保值增值情况、年度市管企业负责人经营业绩考核等29项内容，均按规定在网站公开。二是建立依申请公开转主动公开动态调整机制，对2016-2019年我委出台的规范性文件进行了全面梳理，对公开属性进行了重新判定，将部分规范性文件公开属性调整为主动公开，在市国资委官方网站公开发布并解读，努力做到"应公开尽公开"。</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4.政府信息公开平台建设情况</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2019年，我委对市国资委官方门户网站进行了升级改造，大幅提升服务水平和网络安全防护能力，并按照全市统一部署，全部迁入市级网站集约化平台。在门户网站上线主任信箱专栏，分业务专题有针对性地征集市管企业和市民意见，提高了网站互动留言响应速度，方便企业市民办事。强化内部管理，修订了《市国资委门户网站管理办法》，进一步提升网站管理水平。</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加强政务新媒体建设，用好"国资京京"官微，聚焦宣传热点，紧贴市管企业改革发展现状，大力宣传报道首都国企改革发展党建等方面的政策举措、成就事迹、经验典型、先进人物等，2019年累计发布文章期数250期，发文总量1850篇，分享转发总数179404，阅读总量247774，粉丝数106235，网友留言总数6167条。</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5.政府信息公开监督保障及教育培训情况</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一是建立完善工作机制，按照《北京市2019年政务公开工作要点》工作要求，结合我委实际，明确工作重点和职责分工，强化协同配合，务求工作实效。二是坚持政务公开常态化培训，对网站内容建设、政策解读、依申请公开等进行教育培训和宣传解读，不断提高机关干部的公开意识和公开工作能力。 </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6.市和区人民政府工作考核、社会评议和责任追究结果情况</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无。</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二、主动公开政府信息情况</w:t>
      </w:r>
    </w:p>
    <w:tbl>
      <w:tblPr>
        <w:tblStyle w:val="3"/>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Layout w:type="autofit"/>
        <w:tblCellMar>
          <w:top w:w="75" w:type="dxa"/>
          <w:left w:w="150" w:type="dxa"/>
          <w:bottom w:w="75" w:type="dxa"/>
          <w:right w:w="150" w:type="dxa"/>
        </w:tblCellMar>
      </w:tblPr>
      <w:tblGrid>
        <w:gridCol w:w="3100"/>
        <w:gridCol w:w="1865"/>
        <w:gridCol w:w="269"/>
        <w:gridCol w:w="1358"/>
        <w:gridCol w:w="1924"/>
      </w:tblGrid>
      <w:tr w14:paraId="022CABF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495" w:hRule="atLeast"/>
          <w:jc w:val="center"/>
        </w:trPr>
        <w:tc>
          <w:tcPr>
            <w:tcW w:w="8550" w:type="dxa"/>
            <w:gridSpan w:val="5"/>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1E0222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第二十条第（一）项</w:t>
            </w:r>
          </w:p>
        </w:tc>
      </w:tr>
      <w:tr w14:paraId="7D30DA9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88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8D73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B2F5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本年新</w:t>
            </w:r>
          </w:p>
          <w:p w14:paraId="688F65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制作数量</w:t>
            </w:r>
          </w:p>
        </w:tc>
        <w:tc>
          <w:tcPr>
            <w:tcW w:w="163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B76F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本年新</w:t>
            </w:r>
          </w:p>
          <w:p w14:paraId="35E1BF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公开数量</w:t>
            </w:r>
          </w:p>
        </w:tc>
        <w:tc>
          <w:tcPr>
            <w:tcW w:w="19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82FC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对外公开</w:t>
            </w:r>
          </w:p>
          <w:p w14:paraId="698239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总数量</w:t>
            </w:r>
          </w:p>
        </w:tc>
      </w:tr>
      <w:tr w14:paraId="0148E71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FA70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规章</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E372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163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0917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19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0AF0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38493A4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46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BB30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规范性文件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68FB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14</w:t>
            </w:r>
          </w:p>
        </w:tc>
        <w:tc>
          <w:tcPr>
            <w:tcW w:w="163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90C2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5</w:t>
            </w:r>
          </w:p>
        </w:tc>
        <w:tc>
          <w:tcPr>
            <w:tcW w:w="19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D7A1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55</w:t>
            </w:r>
          </w:p>
        </w:tc>
      </w:tr>
      <w:tr w14:paraId="63E0439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480" w:hRule="atLeast"/>
          <w:jc w:val="center"/>
        </w:trPr>
        <w:tc>
          <w:tcPr>
            <w:tcW w:w="8550" w:type="dxa"/>
            <w:gridSpan w:val="5"/>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4A28EB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第二十条第（五）项</w:t>
            </w:r>
          </w:p>
        </w:tc>
      </w:tr>
      <w:tr w14:paraId="310C7DB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17D7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C30A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上一年项目数量</w:t>
            </w:r>
          </w:p>
        </w:tc>
        <w:tc>
          <w:tcPr>
            <w:tcW w:w="16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7269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本年增/减</w:t>
            </w:r>
          </w:p>
        </w:tc>
        <w:tc>
          <w:tcPr>
            <w:tcW w:w="19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892A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处理决定数量</w:t>
            </w:r>
          </w:p>
        </w:tc>
      </w:tr>
      <w:tr w14:paraId="39F9AB8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0DEB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行政许可</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FE16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16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E9C4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19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8F6A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4EF680A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7EFF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其他对外管理服务事项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7291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16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026A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19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5E48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792FA45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405" w:hRule="atLeast"/>
          <w:jc w:val="center"/>
        </w:trPr>
        <w:tc>
          <w:tcPr>
            <w:tcW w:w="8550" w:type="dxa"/>
            <w:gridSpan w:val="5"/>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6442AF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第二十条第（六）项</w:t>
            </w:r>
          </w:p>
        </w:tc>
      </w:tr>
      <w:tr w14:paraId="20C46A0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8BC9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C7AD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上一年项目数量</w:t>
            </w:r>
          </w:p>
        </w:tc>
        <w:tc>
          <w:tcPr>
            <w:tcW w:w="16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E53B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本年增/减</w:t>
            </w:r>
          </w:p>
        </w:tc>
        <w:tc>
          <w:tcPr>
            <w:tcW w:w="19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8D3C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处理决定数量</w:t>
            </w:r>
          </w:p>
        </w:tc>
      </w:tr>
      <w:tr w14:paraId="2CCDD4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43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0A1A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行政处罚</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F70C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16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B561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19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26B1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4868882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40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575F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行政强制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FF2B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16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2B8D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19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A05E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7A74E02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480" w:hRule="atLeast"/>
          <w:jc w:val="center"/>
        </w:trPr>
        <w:tc>
          <w:tcPr>
            <w:tcW w:w="8550" w:type="dxa"/>
            <w:gridSpan w:val="5"/>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50A353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第二十条第（八）项</w:t>
            </w:r>
          </w:p>
        </w:tc>
      </w:tr>
      <w:tr w14:paraId="7E78079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271"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14FD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EA56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上一年项目数量</w:t>
            </w:r>
          </w:p>
        </w:tc>
        <w:tc>
          <w:tcPr>
            <w:tcW w:w="355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0118AE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本年增/减</w:t>
            </w:r>
          </w:p>
        </w:tc>
      </w:tr>
      <w:tr w14:paraId="2EADC3D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F849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行政事业性收费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E1D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3555"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0012FC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734854A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480" w:hRule="atLeast"/>
          <w:jc w:val="center"/>
        </w:trPr>
        <w:tc>
          <w:tcPr>
            <w:tcW w:w="8550" w:type="dxa"/>
            <w:gridSpan w:val="5"/>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6CB9E0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第二十条第（九）项</w:t>
            </w:r>
          </w:p>
        </w:tc>
      </w:tr>
      <w:tr w14:paraId="7AC56E6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75" w:type="dxa"/>
            <w:left w:w="150" w:type="dxa"/>
            <w:bottom w:w="75" w:type="dxa"/>
            <w:right w:w="150" w:type="dxa"/>
          </w:tblCellMar>
        </w:tblPrEx>
        <w:trPr>
          <w:trHeight w:val="58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CDCF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信息内容</w:t>
            </w:r>
          </w:p>
        </w:tc>
        <w:tc>
          <w:tcPr>
            <w:tcW w:w="214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346C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采购项目数量</w:t>
            </w:r>
          </w:p>
        </w:tc>
        <w:tc>
          <w:tcPr>
            <w:tcW w:w="330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2C578A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采购总金额</w:t>
            </w:r>
          </w:p>
        </w:tc>
      </w:tr>
      <w:tr w14:paraId="2E5AC03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54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F0B5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政府集中采购</w:t>
            </w:r>
          </w:p>
        </w:tc>
        <w:tc>
          <w:tcPr>
            <w:tcW w:w="214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3624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43</w:t>
            </w:r>
          </w:p>
        </w:tc>
        <w:tc>
          <w:tcPr>
            <w:tcW w:w="330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63473A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5950.4552</w:t>
            </w:r>
          </w:p>
        </w:tc>
      </w:tr>
    </w:tbl>
    <w:p w14:paraId="68EEF69F">
      <w:pPr>
        <w:pStyle w:val="2"/>
        <w:keepNext w:val="0"/>
        <w:keepLines w:val="0"/>
        <w:widowControl/>
        <w:suppressLineNumbers w:val="0"/>
        <w:spacing w:line="315" w:lineRule="atLeast"/>
        <w:ind w:lef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三、收到和处理政府信息公开申请情况</w:t>
      </w:r>
    </w:p>
    <w:tbl>
      <w:tblPr>
        <w:tblStyle w:val="3"/>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Layout w:type="autofit"/>
        <w:tblCellMar>
          <w:top w:w="75" w:type="dxa"/>
          <w:left w:w="150" w:type="dxa"/>
          <w:bottom w:w="75" w:type="dxa"/>
          <w:right w:w="150" w:type="dxa"/>
        </w:tblCellMar>
      </w:tblPr>
      <w:tblGrid>
        <w:gridCol w:w="850"/>
        <w:gridCol w:w="1170"/>
        <w:gridCol w:w="1628"/>
        <w:gridCol w:w="707"/>
        <w:gridCol w:w="670"/>
        <w:gridCol w:w="670"/>
        <w:gridCol w:w="707"/>
        <w:gridCol w:w="812"/>
        <w:gridCol w:w="651"/>
        <w:gridCol w:w="651"/>
      </w:tblGrid>
      <w:tr w14:paraId="7F101E5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355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4B3D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（本列数据的逻辑关系为：</w:t>
            </w:r>
          </w:p>
          <w:p w14:paraId="71CEE2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第一项加第二项之和，</w:t>
            </w:r>
          </w:p>
          <w:p w14:paraId="7F1D7A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等于第三项加第四项之和）</w:t>
            </w:r>
          </w:p>
        </w:tc>
        <w:tc>
          <w:tcPr>
            <w:tcW w:w="5520"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75DC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申请人情况</w:t>
            </w:r>
          </w:p>
        </w:tc>
      </w:tr>
      <w:tr w14:paraId="4FC6AD8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75" w:type="dxa"/>
            <w:left w:w="150" w:type="dxa"/>
            <w:bottom w:w="75" w:type="dxa"/>
            <w:right w:w="150" w:type="dxa"/>
          </w:tblCellMar>
        </w:tblPrEx>
        <w:trPr>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E40310">
            <w:pPr>
              <w:rPr>
                <w:rFonts w:hint="eastAsia" w:ascii="仿宋" w:hAnsi="仿宋" w:eastAsia="仿宋" w:cs="仿宋"/>
                <w:sz w:val="32"/>
                <w:szCs w:val="32"/>
              </w:rPr>
            </w:pPr>
          </w:p>
        </w:tc>
        <w:tc>
          <w:tcPr>
            <w:tcW w:w="81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935C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自然人</w:t>
            </w:r>
          </w:p>
        </w:tc>
        <w:tc>
          <w:tcPr>
            <w:tcW w:w="4005"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B209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法人或其他组织</w:t>
            </w:r>
          </w:p>
        </w:tc>
        <w:tc>
          <w:tcPr>
            <w:tcW w:w="69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EFCD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总计</w:t>
            </w:r>
          </w:p>
        </w:tc>
      </w:tr>
      <w:tr w14:paraId="75AE95F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8F1614">
            <w:pPr>
              <w:rPr>
                <w:rFonts w:hint="eastAsia" w:ascii="仿宋" w:hAnsi="仿宋" w:eastAsia="仿宋" w:cs="仿宋"/>
                <w:sz w:val="32"/>
                <w:szCs w:val="32"/>
              </w:rPr>
            </w:pPr>
          </w:p>
        </w:tc>
        <w:tc>
          <w:tcPr>
            <w:tcW w:w="81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1459FF">
            <w:pPr>
              <w:rPr>
                <w:rFonts w:hint="eastAsia" w:ascii="仿宋" w:hAnsi="仿宋" w:eastAsia="仿宋" w:cs="仿宋"/>
                <w:sz w:val="32"/>
                <w:szCs w:val="32"/>
              </w:rPr>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38CB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商业企业</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FE00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科研机构</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95B5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社会公益组织</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1D68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法律服务机构</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FA2F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Style w:val="5"/>
                <w:rFonts w:hint="eastAsia" w:ascii="仿宋" w:hAnsi="仿宋" w:eastAsia="仿宋" w:cs="仿宋"/>
                <w:sz w:val="32"/>
                <w:szCs w:val="32"/>
              </w:rPr>
              <w:t>其他</w:t>
            </w:r>
          </w:p>
        </w:tc>
        <w:tc>
          <w:tcPr>
            <w:tcW w:w="69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92BE49">
            <w:pPr>
              <w:rPr>
                <w:rFonts w:hint="eastAsia" w:ascii="仿宋" w:hAnsi="仿宋" w:eastAsia="仿宋" w:cs="仿宋"/>
                <w:sz w:val="32"/>
                <w:szCs w:val="32"/>
              </w:rPr>
            </w:pPr>
          </w:p>
        </w:tc>
      </w:tr>
      <w:tr w14:paraId="47578A7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915" w:hRule="atLeast"/>
          <w:jc w:val="center"/>
        </w:trPr>
        <w:tc>
          <w:tcPr>
            <w:tcW w:w="355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0989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一、本年新收政府信息公开申请数量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C586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131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1EC0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3</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B297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C33E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CF28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9BE2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4773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134</w:t>
            </w:r>
          </w:p>
        </w:tc>
      </w:tr>
      <w:tr w14:paraId="2D9E57F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1095" w:hRule="atLeast"/>
          <w:jc w:val="center"/>
        </w:trPr>
        <w:tc>
          <w:tcPr>
            <w:tcW w:w="355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5F53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二、上年结转政府信息公开申请数量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2D86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2</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B010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E43E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DE19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C7F9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C4CD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3437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2</w:t>
            </w:r>
          </w:p>
        </w:tc>
      </w:tr>
      <w:tr w14:paraId="067522C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75" w:type="dxa"/>
            <w:left w:w="150" w:type="dxa"/>
            <w:bottom w:w="75" w:type="dxa"/>
            <w:right w:w="150" w:type="dxa"/>
          </w:tblCellMar>
        </w:tblPrEx>
        <w:trPr>
          <w:trHeight w:val="615" w:hRule="atLeast"/>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DEDB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三、本年度办理结果</w:t>
            </w:r>
          </w:p>
        </w:tc>
        <w:tc>
          <w:tcPr>
            <w:tcW w:w="29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0E96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（一）予以公开</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D428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96</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7C4D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2</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D373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B6A7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675B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E336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53A5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98</w:t>
            </w:r>
          </w:p>
        </w:tc>
      </w:tr>
      <w:tr w14:paraId="0779A20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72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F64F30">
            <w:pPr>
              <w:rPr>
                <w:rFonts w:hint="eastAsia" w:ascii="仿宋" w:hAnsi="仿宋" w:eastAsia="仿宋" w:cs="仿宋"/>
                <w:sz w:val="32"/>
                <w:szCs w:val="32"/>
              </w:rPr>
            </w:pPr>
          </w:p>
        </w:tc>
        <w:tc>
          <w:tcPr>
            <w:tcW w:w="29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8F76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（二）部分公开（区分处理的，只计这一情形，不计其他情形）</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CC5A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FA22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FCD5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7F1C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1205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9E91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C549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r>
      <w:tr w14:paraId="1D9936C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64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C088C7">
            <w:pPr>
              <w:rPr>
                <w:rFonts w:hint="eastAsia" w:ascii="仿宋" w:hAnsi="仿宋" w:eastAsia="仿宋" w:cs="仿宋"/>
                <w:sz w:val="32"/>
                <w:szCs w:val="32"/>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D09F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（三）不予公开</w:t>
            </w: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CD85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1.属于国家秘密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8549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603D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7A65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0370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C6E0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5E31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1B9D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r>
      <w:tr w14:paraId="6AD9888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AF56FC">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6984A9">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1CF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2.其他法律行政法规禁止公开</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A1AC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C13D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7433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000D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152E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F7C3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F17E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3D0846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A4C808">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307B77">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3ECA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3.危及“三安全一稳定”</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5E38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1381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A933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C498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1AA7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7BA3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BD61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5CC07EF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0BF050">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D9608C">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928D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4.保护第三方合法权益</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9D2F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B352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B177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2254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1FCF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BFD3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1B2A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r>
      <w:tr w14:paraId="3C4F2DC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AC389E">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A8A436">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5645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5.属于三类内部事务信息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52D2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B244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2779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2159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E936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08CA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7336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0C09AC9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AA26F4">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4130BD">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54D1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6.属于四类过程性信息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0078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4C26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CE2B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4D58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63CB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51BA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8266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3E1C98D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FFF96F">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F27526">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C947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7.属于行政执法案卷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E4E0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FB4D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D087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25EE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1007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FEB7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7536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2E32C57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09A135">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6E2C39">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DD1C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8.属于行政查询事项</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3E38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A00D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6395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6D87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F4BD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05D3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D31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3255638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A14499">
            <w:pPr>
              <w:rPr>
                <w:rFonts w:hint="eastAsia" w:ascii="仿宋" w:hAnsi="仿宋" w:eastAsia="仿宋" w:cs="仿宋"/>
                <w:sz w:val="32"/>
                <w:szCs w:val="32"/>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3E55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（四）无法提供</w:t>
            </w: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E6F1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1.本机关不掌握相关政府信息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5A70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22</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CB8D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099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FDCE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C940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DECF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CD2D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22</w:t>
            </w:r>
          </w:p>
        </w:tc>
      </w:tr>
      <w:tr w14:paraId="72654F5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847D70D">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72C4AD">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70CD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2.没有现成信息需要另行制作</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902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924B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4032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D012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0831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64DC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B8AA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440C1C5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88C93E">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DB6932">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FFC2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3.补正后申请内容仍不明确</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6F1D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8E46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E6DA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88DE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01B5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BD62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4D1A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6D9BB09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75DDCF">
            <w:pPr>
              <w:rPr>
                <w:rFonts w:hint="eastAsia" w:ascii="仿宋" w:hAnsi="仿宋" w:eastAsia="仿宋" w:cs="仿宋"/>
                <w:sz w:val="32"/>
                <w:szCs w:val="32"/>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2350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（五）不予处理</w:t>
            </w: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9B25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1.信访举报投诉类申请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7BF2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CBB0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1886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C8AF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327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AE43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B211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084A497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44371B">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768A3C">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CC36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2.重复申请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790D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A9FB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A157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27AE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EC84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7854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0B6D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62240E0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93B8A6">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783B10">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841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3.要求提供公开出版物</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0F1D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048B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0B37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216E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E811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B18C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D624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490AB2C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A2EADD">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980766">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1341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4.无正当理由大量反复申请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9AAD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8630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6872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3AF2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32A4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1EB4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DE88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5B02052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30B50A">
            <w:pPr>
              <w:rPr>
                <w:rFonts w:hint="eastAsia" w:ascii="仿宋" w:hAnsi="仿宋" w:eastAsia="仿宋" w:cs="仿宋"/>
                <w:sz w:val="32"/>
                <w:szCs w:val="32"/>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D8F7BA">
            <w:pPr>
              <w:rPr>
                <w:rFonts w:hint="eastAsia" w:ascii="仿宋" w:hAnsi="仿宋" w:eastAsia="仿宋" w:cs="仿宋"/>
                <w:sz w:val="32"/>
                <w:szCs w:val="32"/>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5045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5.要求行政机关确认或重新出具已获取信息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93DB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9041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344B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E27F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957D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408F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5639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14:paraId="66E39A8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trHeight w:val="73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AF8D31">
            <w:pPr>
              <w:rPr>
                <w:rFonts w:hint="eastAsia" w:ascii="仿宋" w:hAnsi="仿宋" w:eastAsia="仿宋" w:cs="仿宋"/>
                <w:sz w:val="32"/>
                <w:szCs w:val="32"/>
              </w:rPr>
            </w:pPr>
          </w:p>
        </w:tc>
        <w:tc>
          <w:tcPr>
            <w:tcW w:w="29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026F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（六）其他处理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DCDE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B71E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5C73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8070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7FF7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7FBA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576D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12</w:t>
            </w:r>
          </w:p>
        </w:tc>
      </w:tr>
      <w:tr w14:paraId="3347C8B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65A953">
            <w:pPr>
              <w:rPr>
                <w:rFonts w:hint="eastAsia" w:ascii="仿宋" w:hAnsi="仿宋" w:eastAsia="仿宋" w:cs="仿宋"/>
                <w:sz w:val="32"/>
                <w:szCs w:val="32"/>
              </w:rPr>
            </w:pPr>
          </w:p>
        </w:tc>
        <w:tc>
          <w:tcPr>
            <w:tcW w:w="29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2C5F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（七）总计</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4D92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132</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C228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3</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838F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5E75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01AC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DA02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C6DB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135</w:t>
            </w:r>
          </w:p>
        </w:tc>
      </w:tr>
      <w:tr w14:paraId="7EB3A46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ECD9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left"/>
              <w:rPr>
                <w:rFonts w:hint="eastAsia" w:ascii="仿宋" w:hAnsi="仿宋" w:eastAsia="仿宋" w:cs="仿宋"/>
                <w:sz w:val="32"/>
                <w:szCs w:val="32"/>
              </w:rPr>
            </w:pPr>
            <w:r>
              <w:rPr>
                <w:rFonts w:hint="eastAsia" w:ascii="仿宋" w:hAnsi="仿宋" w:eastAsia="仿宋" w:cs="仿宋"/>
                <w:sz w:val="32"/>
                <w:szCs w:val="32"/>
              </w:rPr>
              <w:t>四、结转下年度继续办理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9C9A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E7D2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E0EA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4D4F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3161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DF08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9C0E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r>
    </w:tbl>
    <w:p w14:paraId="6A5C31A6">
      <w:pPr>
        <w:pStyle w:val="2"/>
        <w:keepNext w:val="0"/>
        <w:keepLines w:val="0"/>
        <w:widowControl/>
        <w:suppressLineNumbers w:val="0"/>
        <w:spacing w:line="315" w:lineRule="atLeast"/>
        <w:ind w:lef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四、政府信息公开行政复议、行政诉讼情况</w:t>
      </w:r>
    </w:p>
    <w:tbl>
      <w:tblPr>
        <w:tblStyle w:val="3"/>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Layout w:type="autofit"/>
        <w:tblCellMar>
          <w:top w:w="75" w:type="dxa"/>
          <w:left w:w="150" w:type="dxa"/>
          <w:bottom w:w="75" w:type="dxa"/>
          <w:right w:w="150" w:type="dxa"/>
        </w:tblCellMar>
      </w:tblPr>
      <w:tblGrid>
        <w:gridCol w:w="565"/>
        <w:gridCol w:w="565"/>
        <w:gridCol w:w="565"/>
        <w:gridCol w:w="565"/>
        <w:gridCol w:w="603"/>
        <w:gridCol w:w="543"/>
        <w:gridCol w:w="565"/>
        <w:gridCol w:w="565"/>
        <w:gridCol w:w="565"/>
        <w:gridCol w:w="573"/>
        <w:gridCol w:w="565"/>
        <w:gridCol w:w="565"/>
        <w:gridCol w:w="565"/>
        <w:gridCol w:w="566"/>
        <w:gridCol w:w="581"/>
      </w:tblGrid>
      <w:tr w14:paraId="387A1B6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1BF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07D2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行政诉讼</w:t>
            </w:r>
          </w:p>
        </w:tc>
      </w:tr>
      <w:tr w14:paraId="051D588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FF4D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B945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结果纠正</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C32F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其他结果</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737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尚未审结</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3420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总计</w:t>
            </w:r>
          </w:p>
        </w:tc>
        <w:tc>
          <w:tcPr>
            <w:tcW w:w="2970"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9E67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未经复议直接起诉</w:t>
            </w:r>
          </w:p>
        </w:tc>
        <w:tc>
          <w:tcPr>
            <w:tcW w:w="3030"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E752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复议后起诉</w:t>
            </w:r>
          </w:p>
        </w:tc>
      </w:tr>
      <w:tr w14:paraId="7810F92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98C6A0">
            <w:pPr>
              <w:rPr>
                <w:rFonts w:hint="eastAsia" w:ascii="仿宋" w:hAnsi="仿宋" w:eastAsia="仿宋" w:cs="仿宋"/>
                <w:sz w:val="32"/>
                <w:szCs w:val="32"/>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7FE1C7">
            <w:pPr>
              <w:rPr>
                <w:rFonts w:hint="eastAsia" w:ascii="仿宋" w:hAnsi="仿宋" w:eastAsia="仿宋" w:cs="仿宋"/>
                <w:sz w:val="32"/>
                <w:szCs w:val="32"/>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A9A827">
            <w:pPr>
              <w:rPr>
                <w:rFonts w:hint="eastAsia" w:ascii="仿宋" w:hAnsi="仿宋" w:eastAsia="仿宋" w:cs="仿宋"/>
                <w:sz w:val="32"/>
                <w:szCs w:val="32"/>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40DA64">
            <w:pPr>
              <w:rPr>
                <w:rFonts w:hint="eastAsia" w:ascii="仿宋" w:hAnsi="仿宋" w:eastAsia="仿宋" w:cs="仿宋"/>
                <w:sz w:val="32"/>
                <w:szCs w:val="32"/>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2CEDC0">
            <w:pPr>
              <w:rPr>
                <w:rFonts w:hint="eastAsia" w:ascii="仿宋" w:hAnsi="仿宋" w:eastAsia="仿宋" w:cs="仿宋"/>
                <w:sz w:val="32"/>
                <w:szCs w:val="32"/>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1DD6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081B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结果纠正</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6652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其他结果</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DAED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尚未审结</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0958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color w:val="000000"/>
                <w:sz w:val="32"/>
                <w:szCs w:val="32"/>
              </w:rPr>
              <w:t>总计</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50AF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2298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结果纠正</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6C77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color w:val="000000"/>
                <w:sz w:val="32"/>
                <w:szCs w:val="32"/>
              </w:rPr>
              <w:t>其他结果</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7FA2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尚未审结</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5AD8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color w:val="000000"/>
                <w:sz w:val="32"/>
                <w:szCs w:val="32"/>
              </w:rPr>
              <w:t>总计</w:t>
            </w:r>
          </w:p>
        </w:tc>
      </w:tr>
      <w:tr w14:paraId="3EAAAAE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75" w:type="dxa"/>
            <w:left w:w="150" w:type="dxa"/>
            <w:bottom w:w="75" w:type="dxa"/>
            <w:right w:w="150" w:type="dxa"/>
          </w:tblCellMar>
        </w:tblPrEx>
        <w:trPr>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0C91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EBA5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4548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F921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EADE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C788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30F5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857D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DBC6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113F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817C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3</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BACB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F220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792B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54A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3</w:t>
            </w:r>
          </w:p>
        </w:tc>
      </w:tr>
    </w:tbl>
    <w:p w14:paraId="18D7D9E9">
      <w:pPr>
        <w:pStyle w:val="2"/>
        <w:keepNext w:val="0"/>
        <w:keepLines w:val="0"/>
        <w:widowControl/>
        <w:suppressLineNumbers w:val="0"/>
        <w:spacing w:line="315" w:lineRule="atLeast"/>
        <w:ind w:lef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五、存在的主要问题及改进情况</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2019年，市国资委政务公开工作在市政务服务管理局的专业指导下取得了一定进步，但对照上级要求和公众期望仍有不足之处。一是新媒体环境下，运用音频视频、卡通动漫等形式进行政策解读的能力有待进一步提升；二是引导公众参与和政民互动有待进一步加强。</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2020年，我委将认真贯彻落实全市政务公开工作部署，紧紧围绕重点工作任务，不断创新工作方式方法，有序推进政府信息公开各项工作落实。一是进一步加大政策性文件主动公开力度，按照"应公开、尽公开"原则，强化重点领域信息公开和政策解读工作。二是丰富政府信息公开形式和渠道，充分运用"国资京京"等新媒体开展宣传解读，灵活运用图表图解、音频视频、卡通动漫等形式，扩大政策宣传力和影响力。三是进一步加强政民互动交流，健全工作机制，完善办理流程，以信息公开促进依法行政。</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六、其他需要报告的事项</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北京市人民政府国有资产监督管理委员会门户网站网址为http://gzw.beijing.gov.cn/，如需了解更多政府信息，请登录查询。</w:t>
      </w:r>
    </w:p>
    <w:p w14:paraId="257CF2B7">
      <w:pPr>
        <w:rPr>
          <w:rFonts w:hint="eastAsia" w:ascii="方正小标宋简体" w:hAnsi="方正小标宋简体" w:eastAsia="方正小标宋简体" w:cs="方正小标宋简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B513E"/>
    <w:rsid w:val="15AB513E"/>
    <w:rsid w:val="47443248"/>
    <w:rsid w:val="726E0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1461</Words>
  <Characters>1537</Characters>
  <Lines>0</Lines>
  <Paragraphs>0</Paragraphs>
  <TotalTime>5</TotalTime>
  <ScaleCrop>false</ScaleCrop>
  <LinksUpToDate>false</LinksUpToDate>
  <CharactersWithSpaces>1575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2020-10-15T02:39:00Z</dcterms:created>
  <dc:creator>黑猫</dc:creator>
  <cp:lastModifiedBy>小倩</cp:lastModifiedBy>
  <dcterms:modified xsi:type="dcterms:W3CDTF">2026-04-30T02:11:43Z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eyJoZGlkIjoiODZmZTM4NGZiOGIyNDNkMjRhNDU5MDc3MzkyYjJjOWEiLCJ1c2VySWQiOiIxNjg3ODgyNDU4In0=</vt:lpwstr>
  </property>
  <property fmtid="{D5CDD505-2E9C-101B-9397-08002B2CF9AE}" pid="4" name="ICV">
    <vt:lpwstr>4AD4848BE8D44507BEB0615F0C8CCDF8_13</vt:lpwstr>
  </property>
</Properties>
</file>