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E8837">
      <w:pPr>
        <w:adjustRightInd w:val="0"/>
        <w:snapToGrid w:val="0"/>
        <w:jc w:val="center"/>
        <w:rPr>
          <w:rFonts w:ascii="方正小标宋简体" w:eastAsia="方正小标宋简体"/>
          <w:sz w:val="44"/>
          <w:szCs w:val="44"/>
        </w:rPr>
      </w:pPr>
    </w:p>
    <w:p w14:paraId="333AD6AF">
      <w:pPr>
        <w:adjustRightInd w:val="0"/>
        <w:snapToGrid w:val="0"/>
        <w:jc w:val="center"/>
        <w:rPr>
          <w:rFonts w:ascii="方正小标宋简体" w:eastAsia="方正小标宋简体"/>
          <w:sz w:val="44"/>
          <w:szCs w:val="44"/>
        </w:rPr>
      </w:pPr>
    </w:p>
    <w:p w14:paraId="4F993F01">
      <w:pPr>
        <w:adjustRightInd w:val="0"/>
        <w:snapToGrid w:val="0"/>
        <w:jc w:val="center"/>
        <w:rPr>
          <w:rFonts w:ascii="方正小标宋简体" w:eastAsia="方正小标宋简体"/>
          <w:sz w:val="44"/>
          <w:szCs w:val="44"/>
        </w:rPr>
      </w:pPr>
      <w:r>
        <w:rPr>
          <w:rFonts w:hint="eastAsia" w:ascii="方正小标宋简体" w:hAnsi="宋体" w:eastAsia="方正小标宋简体"/>
          <w:bCs/>
          <w:sz w:val="44"/>
          <w:szCs w:val="44"/>
        </w:rPr>
        <w:t>委托第三方机构对</w:t>
      </w:r>
      <w:r>
        <w:rPr>
          <w:rFonts w:hint="eastAsia" w:ascii="方正小标宋简体" w:hAnsi="宋体" w:eastAsia="方正小标宋简体"/>
          <w:bCs/>
          <w:sz w:val="44"/>
          <w:szCs w:val="44"/>
          <w:lang w:eastAsia="zh-CN"/>
        </w:rPr>
        <w:t>市管企业基金</w:t>
      </w:r>
      <w:r>
        <w:rPr>
          <w:rFonts w:hint="eastAsia" w:ascii="方正小标宋简体" w:hAnsi="宋体" w:eastAsia="方正小标宋简体"/>
          <w:bCs/>
          <w:sz w:val="44"/>
          <w:szCs w:val="44"/>
        </w:rPr>
        <w:t>监督管理有关工作提供专业咨询服务</w:t>
      </w:r>
      <w:r>
        <w:rPr>
          <w:rFonts w:hint="eastAsia" w:ascii="方正小标宋简体" w:hAnsi="方正小标宋简体" w:eastAsia="方正小标宋简体" w:cs="方正小标宋简体"/>
          <w:sz w:val="44"/>
          <w:szCs w:val="44"/>
        </w:rPr>
        <w:t>项目</w:t>
      </w:r>
    </w:p>
    <w:p w14:paraId="2668175B">
      <w:pPr>
        <w:adjustRightInd w:val="0"/>
        <w:snapToGrid w:val="0"/>
        <w:jc w:val="center"/>
        <w:rPr>
          <w:rFonts w:ascii="方正小标宋简体" w:eastAsia="方正小标宋简体"/>
          <w:sz w:val="44"/>
          <w:szCs w:val="44"/>
        </w:rPr>
      </w:pPr>
    </w:p>
    <w:p w14:paraId="4F17BF84">
      <w:pPr>
        <w:adjustRightInd w:val="0"/>
        <w:snapToGrid w:val="0"/>
        <w:jc w:val="center"/>
        <w:rPr>
          <w:rFonts w:ascii="方正小标宋简体" w:eastAsia="方正小标宋简体"/>
          <w:sz w:val="44"/>
          <w:szCs w:val="44"/>
        </w:rPr>
      </w:pPr>
      <w:r>
        <w:rPr>
          <w:rFonts w:hint="eastAsia" w:ascii="方正小标宋简体" w:eastAsia="方正小标宋简体"/>
          <w:sz w:val="44"/>
          <w:szCs w:val="44"/>
        </w:rPr>
        <w:t>比选文件</w:t>
      </w:r>
    </w:p>
    <w:p w14:paraId="06AD2233">
      <w:pPr>
        <w:adjustRightInd w:val="0"/>
        <w:snapToGrid w:val="0"/>
        <w:jc w:val="center"/>
        <w:rPr>
          <w:rFonts w:ascii="方正小标宋简体" w:eastAsia="方正小标宋简体"/>
          <w:sz w:val="44"/>
          <w:szCs w:val="44"/>
        </w:rPr>
      </w:pPr>
    </w:p>
    <w:p w14:paraId="19FA0342">
      <w:pPr>
        <w:adjustRightInd w:val="0"/>
        <w:snapToGrid w:val="0"/>
        <w:jc w:val="center"/>
        <w:rPr>
          <w:rFonts w:ascii="方正小标宋简体" w:eastAsia="方正小标宋简体"/>
          <w:sz w:val="44"/>
          <w:szCs w:val="44"/>
        </w:rPr>
      </w:pPr>
    </w:p>
    <w:p w14:paraId="377FD460">
      <w:pPr>
        <w:adjustRightInd w:val="0"/>
        <w:snapToGrid w:val="0"/>
        <w:jc w:val="center"/>
        <w:rPr>
          <w:rFonts w:ascii="方正小标宋简体" w:eastAsia="方正小标宋简体"/>
          <w:sz w:val="44"/>
          <w:szCs w:val="44"/>
        </w:rPr>
      </w:pPr>
    </w:p>
    <w:p w14:paraId="740FBAE0">
      <w:pPr>
        <w:adjustRightInd w:val="0"/>
        <w:snapToGrid w:val="0"/>
        <w:jc w:val="center"/>
        <w:rPr>
          <w:rFonts w:ascii="方正小标宋简体" w:eastAsia="方正小标宋简体"/>
          <w:sz w:val="44"/>
          <w:szCs w:val="44"/>
        </w:rPr>
      </w:pPr>
    </w:p>
    <w:p w14:paraId="303A46E4">
      <w:pPr>
        <w:adjustRightInd w:val="0"/>
        <w:snapToGrid w:val="0"/>
        <w:jc w:val="center"/>
        <w:rPr>
          <w:rFonts w:ascii="方正小标宋简体" w:eastAsia="方正小标宋简体"/>
          <w:sz w:val="44"/>
          <w:szCs w:val="44"/>
        </w:rPr>
      </w:pPr>
    </w:p>
    <w:p w14:paraId="044649E1">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比选人：北京市人民政府国有资产监督管理委员会</w:t>
      </w:r>
    </w:p>
    <w:p w14:paraId="580153B2">
      <w:pPr>
        <w:adjustRightInd w:val="0"/>
        <w:snapToGrid w:val="0"/>
        <w:spacing w:line="360" w:lineRule="auto"/>
        <w:jc w:val="center"/>
        <w:rPr>
          <w:rFonts w:hint="default" w:ascii="仿宋_GB2312" w:hAnsi="仿宋_GB2312" w:eastAsia="仿宋_GB2312" w:cs="仿宋_GB2312"/>
          <w:sz w:val="32"/>
          <w:szCs w:val="32"/>
          <w:highlight w:val="none"/>
          <w:lang w:val="en-US" w:eastAsia="zh-CN"/>
        </w:rPr>
        <w:sectPr>
          <w:footerReference r:id="rId3" w:type="first"/>
          <w:pgSz w:w="11906" w:h="16838"/>
          <w:pgMar w:top="2098" w:right="1474" w:bottom="1984" w:left="1587" w:header="851" w:footer="992" w:gutter="0"/>
          <w:pgNumType w:fmt="upperRoman" w:start="1"/>
          <w:cols w:space="0" w:num="1"/>
          <w:docGrid w:type="lines" w:linePitch="318" w:charSpace="0"/>
        </w:sect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8月</w:t>
      </w:r>
    </w:p>
    <w:sdt>
      <w:sdtPr>
        <w:rPr>
          <w:rFonts w:asciiTheme="minorHAnsi" w:hAnsiTheme="minorHAnsi" w:eastAsiaTheme="minorEastAsia" w:cstheme="minorBidi"/>
          <w:color w:val="auto"/>
          <w:kern w:val="2"/>
          <w:sz w:val="21"/>
          <w:szCs w:val="22"/>
          <w:lang w:val="zh-CN"/>
        </w:rPr>
        <w:id w:val="92129376"/>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0C60C6DF">
          <w:pPr>
            <w:pStyle w:val="19"/>
            <w:tabs>
              <w:tab w:val="left" w:pos="8400"/>
            </w:tabs>
            <w:spacing w:before="100" w:beforeAutospacing="1" w:after="100" w:afterAutospacing="1" w:line="360" w:lineRule="auto"/>
            <w:jc w:val="center"/>
            <w:rPr>
              <w:rFonts w:ascii="黑体" w:hAnsi="黑体" w:eastAsia="黑体"/>
              <w:b/>
              <w:bCs/>
              <w:color w:val="000000" w:themeColor="text1"/>
              <w:sz w:val="36"/>
              <w:szCs w:val="36"/>
              <w14:textFill>
                <w14:solidFill>
                  <w14:schemeClr w14:val="tx1"/>
                </w14:solidFill>
              </w14:textFill>
            </w:rPr>
          </w:pPr>
          <w:bookmarkStart w:id="0" w:name="_Toc164167162"/>
          <w:bookmarkStart w:id="1" w:name="_Toc164166486"/>
          <w:r>
            <w:rPr>
              <w:rFonts w:hint="eastAsia" w:ascii="黑体" w:hAnsi="黑体" w:eastAsia="黑体"/>
              <w:b/>
              <w:bCs/>
              <w:color w:val="000000" w:themeColor="text1"/>
              <w:sz w:val="36"/>
              <w:szCs w:val="36"/>
              <w:lang w:val="zh-CN"/>
              <w14:textFill>
                <w14:solidFill>
                  <w14:schemeClr w14:val="tx1"/>
                </w14:solidFill>
              </w14:textFill>
            </w:rPr>
            <w:t>目录</w:t>
          </w:r>
        </w:p>
        <w:p w14:paraId="4DF20542">
          <w:pPr>
            <w:pStyle w:val="9"/>
            <w:tabs>
              <w:tab w:val="left" w:leader="dot" w:pos="8400"/>
              <w:tab w:val="clear" w:pos="8296"/>
            </w:tabs>
            <w:spacing w:before="100" w:beforeAutospacing="1" w:afterAutospacing="1" w:line="240" w:lineRule="auto"/>
            <w:jc w:val="both"/>
            <w:rPr>
              <w:rFonts w:ascii="仿宋_GB2312" w:eastAsia="仿宋_GB2312" w:cstheme="minorBidi"/>
              <w:color w:val="000000" w:themeColor="text1"/>
              <w:kern w:val="2"/>
              <w:sz w:val="32"/>
              <w:szCs w:val="32"/>
              <w14:textFill>
                <w14:solidFill>
                  <w14:schemeClr w14:val="tx1"/>
                </w14:solidFill>
              </w14:textFill>
              <w14:ligatures w14:val="standardContextual"/>
            </w:rPr>
          </w:pP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TOC \o "1-3" \h \z \u </w:instrText>
          </w:r>
          <w:r>
            <w:rPr>
              <w:rFonts w:hint="eastAsia" w:ascii="仿宋_GB2312" w:eastAsia="仿宋_GB2312"/>
              <w:color w:val="000000" w:themeColor="text1"/>
              <w:sz w:val="32"/>
              <w:szCs w:val="32"/>
              <w14:textFill>
                <w14:solidFill>
                  <w14:schemeClr w14:val="tx1"/>
                </w14:solidFill>
              </w14:textFill>
            </w:rPr>
            <w:fldChar w:fldCharType="separate"/>
          </w:r>
          <w:r>
            <w:fldChar w:fldCharType="begin"/>
          </w:r>
          <w:r>
            <w:instrText xml:space="preserve"> HYPERLINK \l "_Toc164167819" </w:instrText>
          </w:r>
          <w:r>
            <w:fldChar w:fldCharType="separate"/>
          </w:r>
          <w:r>
            <w:rPr>
              <w:rStyle w:val="13"/>
              <w:rFonts w:hint="eastAsia" w:ascii="仿宋_GB2312" w:hAnsi="黑体" w:eastAsia="仿宋_GB2312"/>
              <w:color w:val="000000" w:themeColor="text1"/>
              <w:sz w:val="32"/>
              <w:szCs w:val="32"/>
              <w14:textFill>
                <w14:solidFill>
                  <w14:schemeClr w14:val="tx1"/>
                </w14:solidFill>
              </w14:textFill>
            </w:rPr>
            <w:t>一、参选人须知</w:t>
          </w:r>
          <w:r>
            <w:rPr>
              <w:rFonts w:hint="eastAsia" w:ascii="仿宋_GB2312" w:eastAsia="仿宋_GB2312"/>
              <w:color w:val="000000" w:themeColor="text1"/>
              <w:sz w:val="32"/>
              <w:szCs w:val="32"/>
              <w14:textFill>
                <w14:solidFill>
                  <w14:schemeClr w14:val="tx1"/>
                </w14:solidFill>
              </w14:textFill>
            </w:rPr>
            <w:tab/>
          </w: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PAGEREF _Toc164167819 \h </w:instrText>
          </w:r>
          <w:r>
            <w:rPr>
              <w:rFonts w:hint="eastAsia" w:ascii="仿宋_GB2312" w:eastAsia="仿宋_GB2312"/>
              <w:color w:val="000000" w:themeColor="text1"/>
              <w:sz w:val="32"/>
              <w:szCs w:val="32"/>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fldChar w:fldCharType="end"/>
          </w:r>
        </w:p>
        <w:p w14:paraId="096533CE">
          <w:pPr>
            <w:pStyle w:val="2"/>
            <w:tabs>
              <w:tab w:val="left" w:leader="dot" w:pos="8400"/>
            </w:tabs>
            <w:spacing w:before="100" w:beforeAutospacing="1" w:afterAutospacing="1" w:line="240" w:lineRule="auto"/>
            <w:jc w:val="both"/>
            <w:rPr>
              <w:rFonts w:ascii="仿宋_GB2312" w:eastAsia="仿宋_GB2312" w:cstheme="minorBidi"/>
              <w:color w:val="000000" w:themeColor="text1"/>
              <w:kern w:val="2"/>
              <w:sz w:val="32"/>
              <w:szCs w:val="32"/>
              <w14:textFill>
                <w14:solidFill>
                  <w14:schemeClr w14:val="tx1"/>
                </w14:solidFill>
              </w14:textFill>
              <w14:ligatures w14:val="standardContextual"/>
            </w:rPr>
          </w:pPr>
          <w:r>
            <w:fldChar w:fldCharType="begin"/>
          </w:r>
          <w:r>
            <w:instrText xml:space="preserve"> HYPERLINK \l "_Toc164167820" </w:instrText>
          </w:r>
          <w:r>
            <w:fldChar w:fldCharType="separate"/>
          </w:r>
          <w:r>
            <w:rPr>
              <w:rStyle w:val="13"/>
              <w:rFonts w:hint="eastAsia" w:ascii="仿宋_GB2312" w:eastAsia="仿宋_GB2312"/>
              <w:color w:val="000000" w:themeColor="text1"/>
              <w:sz w:val="32"/>
              <w:szCs w:val="32"/>
              <w14:textFill>
                <w14:solidFill>
                  <w14:schemeClr w14:val="tx1"/>
                </w14:solidFill>
              </w14:textFill>
            </w:rPr>
            <w:t>(一)项目概况</w:t>
          </w:r>
          <w:r>
            <w:rPr>
              <w:rFonts w:hint="eastAsia" w:ascii="仿宋_GB2312" w:eastAsia="仿宋_GB2312"/>
              <w:color w:val="000000" w:themeColor="text1"/>
              <w:sz w:val="32"/>
              <w:szCs w:val="32"/>
              <w14:textFill>
                <w14:solidFill>
                  <w14:schemeClr w14:val="tx1"/>
                </w14:solidFill>
              </w14:textFill>
            </w:rPr>
            <w:tab/>
          </w: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PAGEREF _Toc164167820 \h </w:instrText>
          </w:r>
          <w:r>
            <w:rPr>
              <w:rFonts w:hint="eastAsia" w:ascii="仿宋_GB2312" w:eastAsia="仿宋_GB2312"/>
              <w:color w:val="000000" w:themeColor="text1"/>
              <w:sz w:val="32"/>
              <w:szCs w:val="32"/>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fldChar w:fldCharType="end"/>
          </w:r>
        </w:p>
        <w:p w14:paraId="2967AEC9">
          <w:pPr>
            <w:pStyle w:val="2"/>
            <w:tabs>
              <w:tab w:val="left" w:leader="dot" w:pos="8400"/>
            </w:tabs>
            <w:spacing w:before="100" w:beforeAutospacing="1" w:afterAutospacing="1" w:line="240" w:lineRule="auto"/>
            <w:jc w:val="both"/>
            <w:rPr>
              <w:rFonts w:ascii="仿宋_GB2312" w:eastAsia="仿宋_GB2312" w:cstheme="minorBidi"/>
              <w:color w:val="000000" w:themeColor="text1"/>
              <w:kern w:val="2"/>
              <w:sz w:val="32"/>
              <w:szCs w:val="32"/>
              <w14:textFill>
                <w14:solidFill>
                  <w14:schemeClr w14:val="tx1"/>
                </w14:solidFill>
              </w14:textFill>
              <w14:ligatures w14:val="standardContextual"/>
            </w:rPr>
          </w:pPr>
          <w:r>
            <w:fldChar w:fldCharType="begin"/>
          </w:r>
          <w:r>
            <w:instrText xml:space="preserve"> HYPERLINK \l "_Toc164167821" </w:instrText>
          </w:r>
          <w:r>
            <w:fldChar w:fldCharType="separate"/>
          </w:r>
          <w:r>
            <w:rPr>
              <w:rStyle w:val="13"/>
              <w:rFonts w:hint="eastAsia" w:ascii="仿宋_GB2312" w:eastAsia="仿宋_GB2312"/>
              <w:color w:val="000000" w:themeColor="text1"/>
              <w:sz w:val="32"/>
              <w:szCs w:val="32"/>
              <w14:textFill>
                <w14:solidFill>
                  <w14:schemeClr w14:val="tx1"/>
                </w14:solidFill>
              </w14:textFill>
            </w:rPr>
            <w:t>(二)参选人资格要求</w:t>
          </w:r>
          <w:r>
            <w:rPr>
              <w:rFonts w:hint="eastAsia" w:ascii="仿宋_GB2312" w:eastAsia="仿宋_GB2312"/>
              <w:color w:val="000000" w:themeColor="text1"/>
              <w:sz w:val="32"/>
              <w:szCs w:val="32"/>
              <w14:textFill>
                <w14:solidFill>
                  <w14:schemeClr w14:val="tx1"/>
                </w14:solidFill>
              </w14:textFill>
            </w:rPr>
            <w:tab/>
          </w: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PAGEREF _Toc164167821 \h </w:instrText>
          </w:r>
          <w:r>
            <w:rPr>
              <w:rFonts w:hint="eastAsia" w:ascii="仿宋_GB2312" w:eastAsia="仿宋_GB2312"/>
              <w:color w:val="000000" w:themeColor="text1"/>
              <w:sz w:val="32"/>
              <w:szCs w:val="32"/>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fldChar w:fldCharType="end"/>
          </w:r>
        </w:p>
        <w:p w14:paraId="6D8C153E">
          <w:pPr>
            <w:pStyle w:val="2"/>
            <w:tabs>
              <w:tab w:val="left" w:leader="dot" w:pos="8400"/>
            </w:tabs>
            <w:spacing w:before="100" w:beforeAutospacing="1" w:afterAutospacing="1" w:line="240" w:lineRule="auto"/>
            <w:jc w:val="both"/>
            <w:rPr>
              <w:rFonts w:ascii="仿宋_GB2312" w:eastAsia="仿宋_GB2312" w:cstheme="minorBidi"/>
              <w:color w:val="000000" w:themeColor="text1"/>
              <w:kern w:val="2"/>
              <w:sz w:val="32"/>
              <w:szCs w:val="32"/>
              <w14:textFill>
                <w14:solidFill>
                  <w14:schemeClr w14:val="tx1"/>
                </w14:solidFill>
              </w14:textFill>
              <w14:ligatures w14:val="standardContextual"/>
            </w:rPr>
          </w:pPr>
          <w:r>
            <w:fldChar w:fldCharType="begin"/>
          </w:r>
          <w:r>
            <w:instrText xml:space="preserve"> HYPERLINK \l "_Toc164167822" </w:instrText>
          </w:r>
          <w:r>
            <w:fldChar w:fldCharType="separate"/>
          </w:r>
          <w:r>
            <w:rPr>
              <w:rStyle w:val="13"/>
              <w:rFonts w:hint="eastAsia" w:ascii="仿宋_GB2312" w:eastAsia="仿宋_GB2312"/>
              <w:color w:val="000000" w:themeColor="text1"/>
              <w:sz w:val="32"/>
              <w:szCs w:val="32"/>
              <w14:textFill>
                <w14:solidFill>
                  <w14:schemeClr w14:val="tx1"/>
                </w14:solidFill>
              </w14:textFill>
            </w:rPr>
            <w:t>(三)参选文件提交</w:t>
          </w:r>
          <w:r>
            <w:rPr>
              <w:rFonts w:hint="eastAsia" w:ascii="仿宋_GB2312" w:eastAsia="仿宋_GB2312"/>
              <w:color w:val="000000" w:themeColor="text1"/>
              <w:sz w:val="32"/>
              <w:szCs w:val="32"/>
              <w14:textFill>
                <w14:solidFill>
                  <w14:schemeClr w14:val="tx1"/>
                </w14:solidFill>
              </w14:textFill>
            </w:rPr>
            <w:tab/>
          </w: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PAGEREF _Toc164167822 \h </w:instrText>
          </w:r>
          <w:r>
            <w:rPr>
              <w:rFonts w:hint="eastAsia" w:ascii="仿宋_GB2312" w:eastAsia="仿宋_GB2312"/>
              <w:color w:val="000000" w:themeColor="text1"/>
              <w:sz w:val="32"/>
              <w:szCs w:val="32"/>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fldChar w:fldCharType="end"/>
          </w:r>
        </w:p>
        <w:p w14:paraId="242A61C7">
          <w:pPr>
            <w:pStyle w:val="9"/>
            <w:tabs>
              <w:tab w:val="left" w:leader="dot" w:pos="8400"/>
              <w:tab w:val="clear" w:pos="8296"/>
            </w:tabs>
            <w:spacing w:before="100" w:beforeAutospacing="1" w:afterAutospacing="1" w:line="240" w:lineRule="auto"/>
            <w:jc w:val="both"/>
            <w:rPr>
              <w:rFonts w:ascii="仿宋_GB2312" w:eastAsia="仿宋_GB2312" w:cstheme="minorBidi"/>
              <w:color w:val="000000" w:themeColor="text1"/>
              <w:kern w:val="2"/>
              <w:sz w:val="32"/>
              <w:szCs w:val="32"/>
              <w14:textFill>
                <w14:solidFill>
                  <w14:schemeClr w14:val="tx1"/>
                </w14:solidFill>
              </w14:textFill>
              <w14:ligatures w14:val="standardContextual"/>
            </w:rPr>
          </w:pPr>
          <w:r>
            <w:fldChar w:fldCharType="begin"/>
          </w:r>
          <w:r>
            <w:instrText xml:space="preserve"> HYPERLINK \l "_Toc164167823" </w:instrText>
          </w:r>
          <w:r>
            <w:fldChar w:fldCharType="separate"/>
          </w:r>
          <w:r>
            <w:rPr>
              <w:rStyle w:val="13"/>
              <w:rFonts w:hint="eastAsia" w:ascii="仿宋_GB2312" w:hAnsi="黑体" w:eastAsia="仿宋_GB2312"/>
              <w:color w:val="000000" w:themeColor="text1"/>
              <w:sz w:val="32"/>
              <w:szCs w:val="32"/>
              <w14:textFill>
                <w14:solidFill>
                  <w14:schemeClr w14:val="tx1"/>
                </w14:solidFill>
              </w14:textFill>
            </w:rPr>
            <w:t>二、比选办法</w:t>
          </w:r>
          <w:r>
            <w:rPr>
              <w:rFonts w:hint="eastAsia" w:ascii="仿宋_GB2312" w:eastAsia="仿宋_GB2312"/>
              <w:color w:val="000000" w:themeColor="text1"/>
              <w:sz w:val="32"/>
              <w:szCs w:val="32"/>
              <w14:textFill>
                <w14:solidFill>
                  <w14:schemeClr w14:val="tx1"/>
                </w14:solidFill>
              </w14:textFill>
            </w:rPr>
            <w:tab/>
          </w: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PAGEREF _Toc164167823 \h </w:instrText>
          </w:r>
          <w:r>
            <w:rPr>
              <w:rFonts w:hint="eastAsia" w:ascii="仿宋_GB2312" w:eastAsia="仿宋_GB2312"/>
              <w:color w:val="000000" w:themeColor="text1"/>
              <w:sz w:val="32"/>
              <w:szCs w:val="32"/>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fldChar w:fldCharType="end"/>
          </w:r>
        </w:p>
        <w:p w14:paraId="0C70E885">
          <w:pPr>
            <w:pStyle w:val="2"/>
            <w:tabs>
              <w:tab w:val="left" w:leader="dot" w:pos="8400"/>
            </w:tabs>
            <w:spacing w:before="100" w:beforeAutospacing="1" w:afterAutospacing="1" w:line="240" w:lineRule="auto"/>
            <w:jc w:val="both"/>
            <w:rPr>
              <w:rFonts w:ascii="仿宋_GB2312" w:eastAsia="仿宋_GB2312" w:cstheme="minorBidi"/>
              <w:color w:val="000000" w:themeColor="text1"/>
              <w:kern w:val="2"/>
              <w:sz w:val="32"/>
              <w:szCs w:val="32"/>
              <w14:textFill>
                <w14:solidFill>
                  <w14:schemeClr w14:val="tx1"/>
                </w14:solidFill>
              </w14:textFill>
              <w14:ligatures w14:val="standardContextual"/>
            </w:rPr>
          </w:pPr>
          <w:r>
            <w:fldChar w:fldCharType="begin"/>
          </w:r>
          <w:r>
            <w:instrText xml:space="preserve"> HYPERLINK \l "_Toc164167824" </w:instrText>
          </w:r>
          <w:r>
            <w:fldChar w:fldCharType="separate"/>
          </w:r>
          <w:r>
            <w:rPr>
              <w:rStyle w:val="13"/>
              <w:rFonts w:hint="eastAsia" w:ascii="仿宋_GB2312" w:eastAsia="仿宋_GB2312"/>
              <w:color w:val="000000" w:themeColor="text1"/>
              <w:sz w:val="32"/>
              <w:szCs w:val="32"/>
              <w14:textFill>
                <w14:solidFill>
                  <w14:schemeClr w14:val="tx1"/>
                </w14:solidFill>
              </w14:textFill>
            </w:rPr>
            <w:t>(一)报价要求</w:t>
          </w:r>
          <w:r>
            <w:rPr>
              <w:rFonts w:hint="eastAsia" w:ascii="仿宋_GB2312" w:eastAsia="仿宋_GB2312"/>
              <w:color w:val="000000" w:themeColor="text1"/>
              <w:sz w:val="32"/>
              <w:szCs w:val="32"/>
              <w14:textFill>
                <w14:solidFill>
                  <w14:schemeClr w14:val="tx1"/>
                </w14:solidFill>
              </w14:textFill>
            </w:rPr>
            <w:tab/>
          </w: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PAGEREF _Toc164167824 \h </w:instrText>
          </w:r>
          <w:r>
            <w:rPr>
              <w:rFonts w:hint="eastAsia" w:ascii="仿宋_GB2312" w:eastAsia="仿宋_GB2312"/>
              <w:color w:val="000000" w:themeColor="text1"/>
              <w:sz w:val="32"/>
              <w:szCs w:val="32"/>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fldChar w:fldCharType="end"/>
          </w:r>
        </w:p>
        <w:p w14:paraId="11662504">
          <w:pPr>
            <w:pStyle w:val="2"/>
            <w:tabs>
              <w:tab w:val="left" w:leader="dot" w:pos="8400"/>
            </w:tabs>
            <w:spacing w:before="100" w:beforeAutospacing="1" w:afterAutospacing="1" w:line="240" w:lineRule="auto"/>
            <w:jc w:val="both"/>
            <w:rPr>
              <w:rFonts w:ascii="仿宋_GB2312" w:eastAsia="仿宋_GB2312" w:cstheme="minorBidi"/>
              <w:color w:val="000000" w:themeColor="text1"/>
              <w:kern w:val="2"/>
              <w:sz w:val="32"/>
              <w:szCs w:val="32"/>
              <w14:textFill>
                <w14:solidFill>
                  <w14:schemeClr w14:val="tx1"/>
                </w14:solidFill>
              </w14:textFill>
              <w14:ligatures w14:val="standardContextual"/>
            </w:rPr>
          </w:pPr>
          <w:r>
            <w:fldChar w:fldCharType="begin"/>
          </w:r>
          <w:r>
            <w:instrText xml:space="preserve"> HYPERLINK \l "_Toc164167825" </w:instrText>
          </w:r>
          <w:r>
            <w:fldChar w:fldCharType="separate"/>
          </w:r>
          <w:r>
            <w:rPr>
              <w:rStyle w:val="13"/>
              <w:rFonts w:hint="eastAsia" w:ascii="仿宋_GB2312" w:eastAsia="仿宋_GB2312"/>
              <w:color w:val="000000" w:themeColor="text1"/>
              <w:sz w:val="32"/>
              <w:szCs w:val="32"/>
              <w14:textFill>
                <w14:solidFill>
                  <w14:schemeClr w14:val="tx1"/>
                </w14:solidFill>
              </w14:textFill>
            </w:rPr>
            <w:t>(二)比选标准</w:t>
          </w:r>
          <w:r>
            <w:rPr>
              <w:rFonts w:hint="eastAsia" w:ascii="仿宋_GB2312" w:eastAsia="仿宋_GB2312"/>
              <w:color w:val="000000" w:themeColor="text1"/>
              <w:sz w:val="32"/>
              <w:szCs w:val="32"/>
              <w14:textFill>
                <w14:solidFill>
                  <w14:schemeClr w14:val="tx1"/>
                </w14:solidFill>
              </w14:textFill>
            </w:rPr>
            <w:tab/>
          </w: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PAGEREF _Toc164167825 \h </w:instrText>
          </w:r>
          <w:r>
            <w:rPr>
              <w:rFonts w:hint="eastAsia" w:ascii="仿宋_GB2312" w:eastAsia="仿宋_GB2312"/>
              <w:color w:val="000000" w:themeColor="text1"/>
              <w:sz w:val="32"/>
              <w:szCs w:val="32"/>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fldChar w:fldCharType="end"/>
          </w:r>
        </w:p>
        <w:p w14:paraId="2FE1AC17">
          <w:pPr>
            <w:pStyle w:val="2"/>
            <w:tabs>
              <w:tab w:val="left" w:leader="dot" w:pos="8400"/>
            </w:tabs>
            <w:spacing w:before="100" w:beforeAutospacing="1" w:afterAutospacing="1" w:line="240" w:lineRule="auto"/>
            <w:jc w:val="both"/>
            <w:rPr>
              <w:rFonts w:ascii="仿宋_GB2312" w:eastAsia="仿宋_GB2312" w:cstheme="minorBidi"/>
              <w:color w:val="000000" w:themeColor="text1"/>
              <w:kern w:val="2"/>
              <w:sz w:val="32"/>
              <w:szCs w:val="32"/>
              <w14:textFill>
                <w14:solidFill>
                  <w14:schemeClr w14:val="tx1"/>
                </w14:solidFill>
              </w14:textFill>
              <w14:ligatures w14:val="standardContextual"/>
            </w:rPr>
          </w:pPr>
          <w:r>
            <w:fldChar w:fldCharType="begin"/>
          </w:r>
          <w:r>
            <w:instrText xml:space="preserve"> HYPERLINK \l "_Toc164167826" </w:instrText>
          </w:r>
          <w:r>
            <w:fldChar w:fldCharType="separate"/>
          </w:r>
          <w:r>
            <w:rPr>
              <w:rStyle w:val="13"/>
              <w:rFonts w:hint="eastAsia" w:ascii="仿宋_GB2312" w:eastAsia="仿宋_GB2312"/>
              <w:color w:val="000000" w:themeColor="text1"/>
              <w:sz w:val="32"/>
              <w:szCs w:val="32"/>
              <w14:textFill>
                <w14:solidFill>
                  <w14:schemeClr w14:val="tx1"/>
                </w14:solidFill>
              </w14:textFill>
            </w:rPr>
            <w:t>(三)比选方式</w:t>
          </w:r>
          <w:r>
            <w:rPr>
              <w:rFonts w:hint="eastAsia" w:ascii="仿宋_GB2312" w:eastAsia="仿宋_GB2312"/>
              <w:color w:val="000000" w:themeColor="text1"/>
              <w:sz w:val="32"/>
              <w:szCs w:val="32"/>
              <w14:textFill>
                <w14:solidFill>
                  <w14:schemeClr w14:val="tx1"/>
                </w14:solidFill>
              </w14:textFill>
            </w:rPr>
            <w:tab/>
          </w: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PAGEREF _Toc164167826 \h </w:instrText>
          </w:r>
          <w:r>
            <w:rPr>
              <w:rFonts w:hint="eastAsia" w:ascii="仿宋_GB2312" w:eastAsia="仿宋_GB2312"/>
              <w:color w:val="000000" w:themeColor="text1"/>
              <w:sz w:val="32"/>
              <w:szCs w:val="32"/>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fldChar w:fldCharType="end"/>
          </w:r>
        </w:p>
        <w:p w14:paraId="350ACAB1">
          <w:pPr>
            <w:pStyle w:val="2"/>
            <w:tabs>
              <w:tab w:val="left" w:leader="dot" w:pos="8400"/>
            </w:tabs>
            <w:spacing w:before="100" w:beforeAutospacing="1" w:afterAutospacing="1" w:line="240" w:lineRule="auto"/>
            <w:jc w:val="both"/>
            <w:rPr>
              <w:rFonts w:ascii="仿宋_GB2312" w:eastAsia="仿宋_GB2312" w:cstheme="minorBidi"/>
              <w:color w:val="000000" w:themeColor="text1"/>
              <w:kern w:val="2"/>
              <w:sz w:val="32"/>
              <w:szCs w:val="32"/>
              <w14:textFill>
                <w14:solidFill>
                  <w14:schemeClr w14:val="tx1"/>
                </w14:solidFill>
              </w14:textFill>
              <w14:ligatures w14:val="standardContextual"/>
            </w:rPr>
          </w:pPr>
          <w:r>
            <w:fldChar w:fldCharType="begin"/>
          </w:r>
          <w:r>
            <w:instrText xml:space="preserve"> HYPERLINK \l "_Toc164167827" </w:instrText>
          </w:r>
          <w:r>
            <w:fldChar w:fldCharType="separate"/>
          </w:r>
          <w:r>
            <w:rPr>
              <w:rStyle w:val="13"/>
              <w:rFonts w:hint="eastAsia" w:ascii="仿宋_GB2312" w:eastAsia="仿宋_GB2312"/>
              <w:color w:val="000000" w:themeColor="text1"/>
              <w:sz w:val="32"/>
              <w:szCs w:val="32"/>
              <w14:textFill>
                <w14:solidFill>
                  <w14:schemeClr w14:val="tx1"/>
                </w14:solidFill>
              </w14:textFill>
            </w:rPr>
            <w:t>(四)中选人确定</w:t>
          </w:r>
          <w:r>
            <w:rPr>
              <w:rFonts w:hint="eastAsia" w:ascii="仿宋_GB2312" w:eastAsia="仿宋_GB2312"/>
              <w:color w:val="000000" w:themeColor="text1"/>
              <w:sz w:val="32"/>
              <w:szCs w:val="32"/>
              <w14:textFill>
                <w14:solidFill>
                  <w14:schemeClr w14:val="tx1"/>
                </w14:solidFill>
              </w14:textFill>
            </w:rPr>
            <w:tab/>
          </w: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PAGEREF _Toc164167827 \h </w:instrText>
          </w:r>
          <w:r>
            <w:rPr>
              <w:rFonts w:hint="eastAsia" w:ascii="仿宋_GB2312" w:eastAsia="仿宋_GB2312"/>
              <w:color w:val="000000" w:themeColor="text1"/>
              <w:sz w:val="32"/>
              <w:szCs w:val="32"/>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fldChar w:fldCharType="end"/>
          </w:r>
        </w:p>
        <w:p w14:paraId="7C6FE939">
          <w:pPr>
            <w:pStyle w:val="9"/>
            <w:tabs>
              <w:tab w:val="left" w:leader="dot" w:pos="8400"/>
              <w:tab w:val="clear" w:pos="8296"/>
            </w:tabs>
            <w:spacing w:before="100" w:beforeAutospacing="1" w:afterAutospacing="1" w:line="240" w:lineRule="auto"/>
            <w:jc w:val="both"/>
            <w:rPr>
              <w:rFonts w:ascii="仿宋_GB2312" w:eastAsia="仿宋_GB2312" w:cstheme="minorBidi"/>
              <w:color w:val="000000" w:themeColor="text1"/>
              <w:kern w:val="2"/>
              <w:sz w:val="32"/>
              <w:szCs w:val="32"/>
              <w14:textFill>
                <w14:solidFill>
                  <w14:schemeClr w14:val="tx1"/>
                </w14:solidFill>
              </w14:textFill>
              <w14:ligatures w14:val="standardContextual"/>
            </w:rPr>
          </w:pPr>
          <w:r>
            <w:fldChar w:fldCharType="begin"/>
          </w:r>
          <w:r>
            <w:instrText xml:space="preserve"> HYPERLINK \l "_Toc164167828" </w:instrText>
          </w:r>
          <w:r>
            <w:fldChar w:fldCharType="separate"/>
          </w:r>
          <w:r>
            <w:rPr>
              <w:rStyle w:val="13"/>
              <w:rFonts w:hint="eastAsia" w:ascii="仿宋_GB2312" w:hAnsi="黑体" w:eastAsia="仿宋_GB2312"/>
              <w:color w:val="000000" w:themeColor="text1"/>
              <w:sz w:val="32"/>
              <w:szCs w:val="32"/>
              <w14:textFill>
                <w14:solidFill>
                  <w14:schemeClr w14:val="tx1"/>
                </w14:solidFill>
              </w14:textFill>
            </w:rPr>
            <w:t>三、参选文件编制要求</w:t>
          </w:r>
          <w:r>
            <w:rPr>
              <w:rFonts w:hint="eastAsia" w:ascii="仿宋_GB2312" w:eastAsia="仿宋_GB2312"/>
              <w:color w:val="000000" w:themeColor="text1"/>
              <w:sz w:val="32"/>
              <w:szCs w:val="32"/>
              <w14:textFill>
                <w14:solidFill>
                  <w14:schemeClr w14:val="tx1"/>
                </w14:solidFill>
              </w14:textFill>
            </w:rPr>
            <w:tab/>
          </w:r>
          <w:r>
            <w:rPr>
              <w:rFonts w:hint="eastAsia" w:ascii="仿宋_GB2312" w:eastAsia="仿宋_GB2312"/>
              <w:color w:val="000000" w:themeColor="text1"/>
              <w:sz w:val="32"/>
              <w:szCs w:val="32"/>
              <w14:textFill>
                <w14:solidFill>
                  <w14:schemeClr w14:val="tx1"/>
                </w14:solidFill>
              </w14:textFill>
            </w:rPr>
            <w:fldChar w:fldCharType="begin"/>
          </w:r>
          <w:r>
            <w:rPr>
              <w:rFonts w:hint="eastAsia" w:ascii="仿宋_GB2312" w:eastAsia="仿宋_GB2312"/>
              <w:color w:val="000000" w:themeColor="text1"/>
              <w:sz w:val="32"/>
              <w:szCs w:val="32"/>
              <w14:textFill>
                <w14:solidFill>
                  <w14:schemeClr w14:val="tx1"/>
                </w14:solidFill>
              </w14:textFill>
            </w:rPr>
            <w:instrText xml:space="preserve"> PAGEREF _Toc164167828 \h </w:instrText>
          </w:r>
          <w:r>
            <w:rPr>
              <w:rFonts w:hint="eastAsia" w:ascii="仿宋_GB2312" w:eastAsia="仿宋_GB2312"/>
              <w:color w:val="000000" w:themeColor="text1"/>
              <w:sz w:val="32"/>
              <w:szCs w:val="32"/>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fldChar w:fldCharType="end"/>
          </w:r>
        </w:p>
        <w:p w14:paraId="7466B8CB">
          <w:pPr>
            <w:tabs>
              <w:tab w:val="left" w:leader="dot" w:pos="8400"/>
            </w:tabs>
            <w:spacing w:before="100" w:beforeAutospacing="1" w:after="100" w:afterAutospacing="1" w:line="360" w:lineRule="auto"/>
          </w:pPr>
          <w:r>
            <w:rPr>
              <w:rFonts w:hint="eastAsia" w:ascii="仿宋_GB2312" w:eastAsia="仿宋_GB2312"/>
              <w:b/>
              <w:bCs/>
              <w:color w:val="000000" w:themeColor="text1"/>
              <w:sz w:val="32"/>
              <w:szCs w:val="32"/>
              <w:lang w:val="zh-CN"/>
              <w14:textFill>
                <w14:solidFill>
                  <w14:schemeClr w14:val="tx1"/>
                </w14:solidFill>
              </w14:textFill>
            </w:rPr>
            <w:fldChar w:fldCharType="end"/>
          </w:r>
        </w:p>
      </w:sdtContent>
    </w:sdt>
    <w:p w14:paraId="04637DD1"/>
    <w:p w14:paraId="120AD65F">
      <w:pPr>
        <w:pStyle w:val="2"/>
      </w:pPr>
      <w:r>
        <w:br w:type="page"/>
      </w:r>
    </w:p>
    <w:p w14:paraId="42DE136C">
      <w:pPr>
        <w:adjustRightInd w:val="0"/>
        <w:snapToGrid w:val="0"/>
        <w:spacing w:line="360" w:lineRule="auto"/>
        <w:ind w:firstLine="640" w:firstLineChars="200"/>
        <w:outlineLvl w:val="0"/>
        <w:rPr>
          <w:rFonts w:ascii="黑体" w:hAnsi="黑体" w:eastAsia="黑体"/>
          <w:sz w:val="32"/>
          <w:szCs w:val="32"/>
        </w:rPr>
      </w:pPr>
      <w:bookmarkStart w:id="2" w:name="_Toc164167819"/>
      <w:r>
        <w:rPr>
          <w:rFonts w:hint="eastAsia" w:ascii="黑体" w:hAnsi="黑体" w:eastAsia="黑体"/>
          <w:sz w:val="32"/>
          <w:szCs w:val="32"/>
        </w:rPr>
        <w:t>一、参选人须知</w:t>
      </w:r>
      <w:bookmarkEnd w:id="0"/>
      <w:bookmarkEnd w:id="1"/>
      <w:bookmarkEnd w:id="2"/>
    </w:p>
    <w:p w14:paraId="2EA7EAE0">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outlineLvl w:val="1"/>
        <w:rPr>
          <w:rFonts w:ascii="楷体_GB2312" w:eastAsia="楷体_GB2312"/>
          <w:sz w:val="32"/>
          <w:szCs w:val="32"/>
        </w:rPr>
      </w:pPr>
      <w:bookmarkStart w:id="3" w:name="_Toc164167820"/>
      <w:bookmarkStart w:id="4" w:name="_Toc164166487"/>
      <w:bookmarkStart w:id="5" w:name="_Toc164167163"/>
      <w:r>
        <w:rPr>
          <w:rFonts w:hint="eastAsia" w:ascii="楷体_GB2312" w:eastAsia="楷体_GB2312"/>
          <w:sz w:val="32"/>
          <w:szCs w:val="32"/>
          <w:lang w:eastAsia="zh-CN"/>
        </w:rPr>
        <w:t>（一）</w:t>
      </w:r>
      <w:r>
        <w:rPr>
          <w:rFonts w:hint="eastAsia" w:ascii="楷体_GB2312" w:eastAsia="楷体_GB2312"/>
          <w:sz w:val="32"/>
          <w:szCs w:val="32"/>
        </w:rPr>
        <w:t>项目概况</w:t>
      </w:r>
      <w:bookmarkEnd w:id="3"/>
      <w:bookmarkEnd w:id="4"/>
      <w:bookmarkEnd w:id="5"/>
    </w:p>
    <w:p w14:paraId="2AA42AB7">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1.采购单位</w:t>
      </w:r>
      <w:r>
        <w:rPr>
          <w:rFonts w:hint="eastAsia" w:ascii="仿宋_GB2312" w:hAnsi="宋体" w:eastAsia="仿宋_GB2312"/>
          <w:sz w:val="32"/>
          <w:szCs w:val="32"/>
          <w:lang w:eastAsia="zh-CN"/>
        </w:rPr>
        <w:t>：</w:t>
      </w:r>
      <w:r>
        <w:rPr>
          <w:rFonts w:hint="eastAsia" w:ascii="仿宋_GB2312" w:hAnsi="宋体" w:eastAsia="仿宋_GB2312"/>
          <w:sz w:val="32"/>
          <w:szCs w:val="32"/>
        </w:rPr>
        <w:t>北京市人民政府国有资产监督管理委员会（简称“市国资委”）</w:t>
      </w:r>
    </w:p>
    <w:p w14:paraId="56A24EDA">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2.项目地点</w:t>
      </w:r>
      <w:r>
        <w:rPr>
          <w:rFonts w:hint="eastAsia" w:ascii="仿宋_GB2312" w:hAnsi="宋体" w:eastAsia="仿宋_GB2312"/>
          <w:sz w:val="32"/>
          <w:szCs w:val="32"/>
          <w:lang w:eastAsia="zh-CN"/>
        </w:rPr>
        <w:t>：</w:t>
      </w:r>
      <w:r>
        <w:rPr>
          <w:rFonts w:hint="eastAsia" w:ascii="仿宋_GB2312" w:hAnsi="宋体" w:eastAsia="仿宋_GB2312"/>
          <w:sz w:val="32"/>
          <w:szCs w:val="32"/>
        </w:rPr>
        <w:t>北京市通州区东夏园留庄路</w:t>
      </w:r>
      <w:r>
        <w:rPr>
          <w:rFonts w:ascii="仿宋_GB2312" w:hAnsi="宋体" w:eastAsia="仿宋_GB2312"/>
          <w:sz w:val="32"/>
          <w:szCs w:val="32"/>
        </w:rPr>
        <w:t>2号院</w:t>
      </w:r>
    </w:p>
    <w:p w14:paraId="226B37DA">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hAnsi="仿宋_GB2312" w:eastAsia="仿宋_GB2312" w:cs="仿宋_GB2312"/>
          <w:sz w:val="32"/>
          <w:szCs w:val="32"/>
        </w:rPr>
      </w:pPr>
      <w:r>
        <w:rPr>
          <w:rFonts w:hint="eastAsia" w:ascii="仿宋_GB2312" w:hAnsi="宋体" w:eastAsia="仿宋_GB2312"/>
          <w:sz w:val="32"/>
          <w:szCs w:val="32"/>
        </w:rPr>
        <w:t>3.项目名称</w:t>
      </w:r>
      <w:r>
        <w:rPr>
          <w:rFonts w:hint="eastAsia" w:ascii="仿宋_GB2312" w:hAnsi="宋体" w:eastAsia="仿宋_GB2312"/>
          <w:sz w:val="32"/>
          <w:szCs w:val="32"/>
          <w:lang w:eastAsia="zh-CN"/>
        </w:rPr>
        <w:t>：委托第三方机构对市管企业基金监督管理有关工作提供专业咨询服务</w:t>
      </w:r>
    </w:p>
    <w:p w14:paraId="4193E621">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lang w:eastAsia="zh-CN"/>
        </w:rPr>
      </w:pPr>
      <w:r>
        <w:rPr>
          <w:rFonts w:hint="eastAsia" w:ascii="仿宋_GB2312" w:hAnsi="宋体" w:eastAsia="仿宋_GB2312"/>
          <w:sz w:val="32"/>
          <w:szCs w:val="32"/>
        </w:rPr>
        <w:t>4.项目内容</w:t>
      </w:r>
      <w:r>
        <w:rPr>
          <w:rFonts w:hint="eastAsia" w:ascii="仿宋_GB2312" w:hAnsi="宋体" w:eastAsia="仿宋_GB2312"/>
          <w:sz w:val="32"/>
          <w:szCs w:val="32"/>
          <w:lang w:eastAsia="zh-CN"/>
        </w:rPr>
        <w:t>：</w:t>
      </w:r>
    </w:p>
    <w:p w14:paraId="7AB37B88">
      <w:pPr>
        <w:keepNext w:val="0"/>
        <w:keepLines w:val="0"/>
        <w:pageBreakBefore w:val="0"/>
        <w:widowControl/>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lang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1</w:t>
      </w:r>
      <w:r>
        <w:rPr>
          <w:rFonts w:hint="eastAsia" w:ascii="仿宋_GB2312" w:hAnsi="宋体" w:eastAsia="仿宋_GB2312"/>
          <w:sz w:val="32"/>
          <w:szCs w:val="32"/>
          <w:lang w:eastAsia="zh-CN"/>
        </w:rPr>
        <w:t>）</w:t>
      </w:r>
      <w:r>
        <w:rPr>
          <w:rFonts w:hint="eastAsia" w:ascii="仿宋_GB2312" w:hAnsi="宋体" w:eastAsia="仿宋_GB2312"/>
          <w:sz w:val="32"/>
          <w:szCs w:val="32"/>
        </w:rPr>
        <w:t>协助委托人依据相关监管办法及规范性文件，开展市管企业私募股权投资基金业务核查及监管系统数据核查工作，结合基金业协会官方信息及合规商业查询平台等多源权威数据开展交叉核验，对市管企业填报的基金业务数据进行合规校验，反馈并督促市管企业完成数据修正，汇总形成基金核查报告报委托人审核使用</w:t>
      </w:r>
      <w:r>
        <w:rPr>
          <w:rFonts w:hint="eastAsia" w:ascii="仿宋_GB2312" w:hAnsi="宋体" w:eastAsia="仿宋_GB2312"/>
          <w:sz w:val="32"/>
          <w:szCs w:val="32"/>
          <w:lang w:eastAsia="zh-CN"/>
        </w:rPr>
        <w:t>；</w:t>
      </w:r>
    </w:p>
    <w:p w14:paraId="6BC39BFF">
      <w:pPr>
        <w:keepNext w:val="0"/>
        <w:keepLines w:val="0"/>
        <w:pageBreakBefore w:val="0"/>
        <w:widowControl/>
        <w:kinsoku/>
        <w:wordWrap/>
        <w:overflowPunct/>
        <w:topLinePunct w:val="0"/>
        <w:autoSpaceDE/>
        <w:autoSpaceDN/>
        <w:bidi w:val="0"/>
        <w:adjustRightInd w:val="0"/>
        <w:snapToGrid/>
        <w:spacing w:line="360" w:lineRule="auto"/>
        <w:ind w:firstLine="640" w:firstLineChars="200"/>
        <w:textAlignment w:val="auto"/>
        <w:rPr>
          <w:rFonts w:hint="default"/>
          <w:lang w:val="en-US"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highlight w:val="none"/>
        </w:rPr>
        <w:t>协助委托人整理国家及部分省市基金绩效评价的相关政策和制度经验，并形成参考资料，为委托人开展</w:t>
      </w:r>
      <w:r>
        <w:rPr>
          <w:rFonts w:hint="eastAsia" w:ascii="仿宋_GB2312" w:hAnsi="宋体" w:eastAsia="仿宋_GB2312"/>
          <w:sz w:val="32"/>
          <w:szCs w:val="32"/>
          <w:highlight w:val="none"/>
          <w:lang w:eastAsia="zh-CN"/>
        </w:rPr>
        <w:t>市管企业基金</w:t>
      </w:r>
      <w:r>
        <w:rPr>
          <w:rFonts w:hint="eastAsia" w:ascii="仿宋_GB2312" w:hAnsi="宋体" w:eastAsia="仿宋_GB2312"/>
          <w:sz w:val="32"/>
          <w:szCs w:val="32"/>
          <w:highlight w:val="none"/>
        </w:rPr>
        <w:t>绩效评价工作做好前期准备和实操支撑</w:t>
      </w:r>
      <w:r>
        <w:rPr>
          <w:rFonts w:hint="eastAsia" w:ascii="仿宋_GB2312" w:hAnsi="宋体" w:eastAsia="仿宋_GB2312"/>
          <w:sz w:val="32"/>
          <w:szCs w:val="32"/>
          <w:lang w:eastAsia="zh-CN"/>
        </w:rPr>
        <w:t>；</w:t>
      </w:r>
    </w:p>
    <w:p w14:paraId="2963FA7C">
      <w:pPr>
        <w:keepNext w:val="0"/>
        <w:keepLines w:val="0"/>
        <w:pageBreakBefore w:val="0"/>
        <w:widowControl/>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除上述内容外，对委托人提出的其他</w:t>
      </w:r>
      <w:r>
        <w:rPr>
          <w:rFonts w:hint="eastAsia" w:ascii="仿宋_GB2312" w:hAnsi="宋体" w:eastAsia="仿宋_GB2312"/>
          <w:sz w:val="32"/>
          <w:szCs w:val="32"/>
          <w:lang w:eastAsia="zh-CN"/>
        </w:rPr>
        <w:t>市管企业基金</w:t>
      </w:r>
      <w:r>
        <w:rPr>
          <w:rFonts w:hint="eastAsia" w:ascii="仿宋_GB2312" w:hAnsi="宋体" w:eastAsia="仿宋_GB2312"/>
          <w:sz w:val="32"/>
          <w:szCs w:val="32"/>
        </w:rPr>
        <w:t>管理相关问题提供第三方专业咨询服务。</w:t>
      </w:r>
    </w:p>
    <w:p w14:paraId="1EC35ECE">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highlight w:val="none"/>
        </w:rPr>
      </w:pP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4</w:t>
      </w:r>
      <w:r>
        <w:rPr>
          <w:rFonts w:hint="eastAsia" w:ascii="仿宋_GB2312" w:hAnsi="宋体" w:eastAsia="仿宋_GB2312"/>
          <w:sz w:val="32"/>
          <w:szCs w:val="32"/>
          <w:highlight w:val="none"/>
        </w:rPr>
        <w:t>）</w:t>
      </w:r>
      <w:r>
        <w:rPr>
          <w:rFonts w:hint="eastAsia" w:ascii="仿宋_GB2312" w:eastAsia="仿宋_GB2312"/>
          <w:sz w:val="32"/>
          <w:szCs w:val="32"/>
          <w:highlight w:val="none"/>
        </w:rPr>
        <w:t>服务期限</w:t>
      </w:r>
      <w:r>
        <w:rPr>
          <w:rFonts w:hint="eastAsia" w:ascii="仿宋_GB2312" w:eastAsia="仿宋_GB2312"/>
          <w:sz w:val="32"/>
          <w:szCs w:val="32"/>
          <w:highlight w:val="none"/>
          <w:lang w:eastAsia="zh-CN"/>
        </w:rPr>
        <w:t>：</w:t>
      </w:r>
      <w:r>
        <w:rPr>
          <w:rFonts w:hint="eastAsia" w:ascii="仿宋_GB2312" w:hAnsi="仿宋_GB2312" w:eastAsia="仿宋_GB2312" w:cs="仿宋_GB2312"/>
          <w:sz w:val="32"/>
          <w:szCs w:val="32"/>
        </w:rPr>
        <w:t>自合同签订之日起至2026年12月底</w:t>
      </w:r>
      <w:r>
        <w:rPr>
          <w:rFonts w:hint="eastAsia" w:ascii="仿宋_GB2312" w:hAnsi="仿宋_GB2312" w:eastAsia="仿宋_GB2312" w:cs="仿宋_GB2312"/>
          <w:sz w:val="32"/>
          <w:szCs w:val="32"/>
          <w:highlight w:val="none"/>
        </w:rPr>
        <w:t>。</w:t>
      </w:r>
    </w:p>
    <w:p w14:paraId="23EAD972">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outlineLvl w:val="1"/>
        <w:rPr>
          <w:rFonts w:ascii="楷体_GB2312" w:eastAsia="楷体_GB2312"/>
          <w:sz w:val="32"/>
          <w:szCs w:val="32"/>
        </w:rPr>
      </w:pPr>
      <w:bookmarkStart w:id="6" w:name="_Toc164167821"/>
      <w:bookmarkStart w:id="7" w:name="_Toc164166488"/>
      <w:bookmarkStart w:id="8" w:name="_Toc164167164"/>
      <w:r>
        <w:rPr>
          <w:rFonts w:hint="eastAsia" w:ascii="楷体_GB2312" w:eastAsia="楷体_GB2312"/>
          <w:sz w:val="32"/>
          <w:szCs w:val="32"/>
          <w:lang w:eastAsia="zh-CN"/>
        </w:rPr>
        <w:t>（二）</w:t>
      </w:r>
      <w:r>
        <w:rPr>
          <w:rFonts w:hint="eastAsia" w:ascii="楷体_GB2312" w:eastAsia="楷体_GB2312"/>
          <w:sz w:val="32"/>
          <w:szCs w:val="32"/>
        </w:rPr>
        <w:t>参选人资格要求</w:t>
      </w:r>
      <w:bookmarkEnd w:id="6"/>
      <w:bookmarkEnd w:id="7"/>
      <w:bookmarkEnd w:id="8"/>
    </w:p>
    <w:p w14:paraId="2F1E1931">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ascii="仿宋_GB2312" w:eastAsia="仿宋_GB2312"/>
          <w:sz w:val="32"/>
          <w:szCs w:val="32"/>
        </w:rPr>
        <w:t>1.具有独立承担民事责任的能力；</w:t>
      </w:r>
    </w:p>
    <w:p w14:paraId="7A7F5101">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ascii="仿宋_GB2312" w:eastAsia="仿宋_GB2312"/>
          <w:sz w:val="32"/>
          <w:szCs w:val="32"/>
        </w:rPr>
        <w:t>2.具有良好的商业信誉和健全的财务会计制度；</w:t>
      </w:r>
    </w:p>
    <w:p w14:paraId="51D8AB55">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ascii="仿宋_GB2312" w:eastAsia="仿宋_GB2312"/>
          <w:sz w:val="32"/>
          <w:szCs w:val="32"/>
        </w:rPr>
        <w:t>3.具有履行合同所必须的设备和专业技术能力；</w:t>
      </w:r>
    </w:p>
    <w:p w14:paraId="717861B8">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ascii="仿宋_GB2312" w:eastAsia="仿宋_GB2312"/>
          <w:sz w:val="32"/>
          <w:szCs w:val="32"/>
        </w:rPr>
        <w:t>4.具有依法缴纳税收和社会保障资金的良好记录；</w:t>
      </w:r>
    </w:p>
    <w:p w14:paraId="3278CDB5">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ascii="仿宋_GB2312" w:eastAsia="仿宋_GB2312"/>
          <w:sz w:val="32"/>
          <w:szCs w:val="32"/>
        </w:rPr>
        <w:t>5.参加本次政府采购活动前三年内，在经营活动中没有重大违法记录；</w:t>
      </w:r>
    </w:p>
    <w:p w14:paraId="2F62DA27">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ascii="仿宋_GB2312" w:eastAsia="仿宋_GB2312"/>
          <w:sz w:val="32"/>
          <w:szCs w:val="32"/>
        </w:rPr>
        <w:t>6.法律、行政法规规定的其他条件；</w:t>
      </w:r>
    </w:p>
    <w:p w14:paraId="32C95392">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ascii="仿宋_GB2312" w:eastAsia="仿宋_GB2312"/>
          <w:sz w:val="32"/>
          <w:szCs w:val="32"/>
        </w:rPr>
        <w:t>7.单位负责人为同一人或者存在直接控股、管理关系的不同供应商不得参加同一合同项下的政府采购活动；</w:t>
      </w:r>
    </w:p>
    <w:p w14:paraId="3126CFE4">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ascii="仿宋_GB2312" w:eastAsia="仿宋_GB2312"/>
          <w:sz w:val="32"/>
          <w:szCs w:val="32"/>
        </w:rPr>
        <w:t>8.截至投标截止日未被列入失信被执行人、重大税收违法案件当事人名单、政府采购严重违法失信行为记录名单；</w:t>
      </w:r>
    </w:p>
    <w:p w14:paraId="0C9824D8">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ascii="仿宋_GB2312" w:eastAsia="仿宋_GB2312"/>
          <w:sz w:val="32"/>
          <w:szCs w:val="32"/>
        </w:rPr>
        <w:t>9.参与本项目的供应商单位及其现任法定代表人、主要负责人不得具有行贿犯罪记录；</w:t>
      </w:r>
    </w:p>
    <w:p w14:paraId="78A7763E">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ascii="仿宋_GB2312" w:eastAsia="仿宋_GB2312"/>
          <w:sz w:val="32"/>
          <w:szCs w:val="32"/>
        </w:rPr>
        <w:t>10.本项目不接受联合体投标。</w:t>
      </w:r>
    </w:p>
    <w:p w14:paraId="08BE6445">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outlineLvl w:val="1"/>
        <w:rPr>
          <w:rFonts w:ascii="楷体_GB2312" w:eastAsia="楷体_GB2312"/>
          <w:sz w:val="32"/>
          <w:szCs w:val="32"/>
        </w:rPr>
      </w:pPr>
      <w:bookmarkStart w:id="9" w:name="_Toc164166489"/>
      <w:bookmarkStart w:id="10" w:name="_Toc164167822"/>
      <w:bookmarkStart w:id="11" w:name="_Toc164167165"/>
      <w:r>
        <w:rPr>
          <w:rFonts w:hint="eastAsia" w:ascii="楷体_GB2312" w:eastAsia="楷体_GB2312"/>
          <w:sz w:val="32"/>
          <w:szCs w:val="32"/>
          <w:lang w:eastAsia="zh-CN"/>
        </w:rPr>
        <w:t>（三）</w:t>
      </w:r>
      <w:r>
        <w:rPr>
          <w:rFonts w:hint="eastAsia" w:ascii="楷体_GB2312" w:eastAsia="楷体_GB2312"/>
          <w:sz w:val="32"/>
          <w:szCs w:val="32"/>
        </w:rPr>
        <w:t>参选文件提交</w:t>
      </w:r>
      <w:bookmarkEnd w:id="9"/>
      <w:bookmarkEnd w:id="10"/>
      <w:bookmarkEnd w:id="11"/>
    </w:p>
    <w:p w14:paraId="446B540A">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hAnsi="宋体" w:eastAsia="仿宋_GB2312"/>
          <w:sz w:val="32"/>
          <w:szCs w:val="32"/>
          <w:highlight w:val="none"/>
        </w:rPr>
      </w:pPr>
      <w:r>
        <w:rPr>
          <w:rFonts w:hint="eastAsia" w:ascii="仿宋_GB2312" w:hAnsi="宋体" w:eastAsia="仿宋_GB2312"/>
          <w:sz w:val="32"/>
          <w:szCs w:val="32"/>
        </w:rPr>
        <w:t>1.提交参选文件截止时间</w:t>
      </w:r>
      <w:r>
        <w:rPr>
          <w:rFonts w:hint="eastAsia" w:ascii="仿宋_GB2312" w:hAnsi="宋体" w:eastAsia="仿宋_GB2312"/>
          <w:sz w:val="32"/>
          <w:szCs w:val="32"/>
          <w:lang w:eastAsia="zh-CN"/>
        </w:rPr>
        <w:t>：</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11</w:t>
      </w:r>
      <w:bookmarkStart w:id="30" w:name="_GoBack"/>
      <w:bookmarkEnd w:id="30"/>
      <w:r>
        <w:rPr>
          <w:rFonts w:hint="eastAsia" w:ascii="仿宋_GB2312" w:hAnsi="仿宋_GB2312" w:eastAsia="仿宋_GB2312" w:cs="仿宋_GB2312"/>
          <w:sz w:val="32"/>
          <w:szCs w:val="32"/>
          <w:highlight w:val="none"/>
        </w:rPr>
        <w:t>日17:00</w:t>
      </w:r>
      <w:r>
        <w:rPr>
          <w:rFonts w:hint="eastAsia" w:ascii="仿宋_GB2312" w:hAnsi="宋体" w:eastAsia="仿宋_GB2312"/>
          <w:sz w:val="32"/>
          <w:szCs w:val="32"/>
          <w:highlight w:val="none"/>
        </w:rPr>
        <w:t>。</w:t>
      </w:r>
    </w:p>
    <w:p w14:paraId="6C5CE030">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2.提交参选文件地点</w:t>
      </w:r>
      <w:r>
        <w:rPr>
          <w:rFonts w:hint="eastAsia" w:ascii="仿宋_GB2312" w:hAnsi="宋体" w:eastAsia="仿宋_GB2312"/>
          <w:sz w:val="32"/>
          <w:szCs w:val="32"/>
          <w:lang w:eastAsia="zh-CN"/>
        </w:rPr>
        <w:t>：</w:t>
      </w:r>
      <w:r>
        <w:rPr>
          <w:rFonts w:hint="eastAsia" w:ascii="仿宋_GB2312" w:hAnsi="宋体" w:eastAsia="仿宋_GB2312"/>
          <w:sz w:val="32"/>
          <w:szCs w:val="32"/>
        </w:rPr>
        <w:t>北京市通州区东夏园留庄路</w:t>
      </w:r>
      <w:r>
        <w:rPr>
          <w:rFonts w:ascii="仿宋_GB2312" w:hAnsi="宋体" w:eastAsia="仿宋_GB2312"/>
          <w:sz w:val="32"/>
          <w:szCs w:val="32"/>
        </w:rPr>
        <w:t>2号院1号楼820室</w:t>
      </w:r>
      <w:r>
        <w:rPr>
          <w:rFonts w:hint="eastAsia" w:ascii="仿宋_GB2312" w:hAnsi="宋体" w:eastAsia="仿宋_GB2312"/>
          <w:sz w:val="32"/>
          <w:szCs w:val="32"/>
        </w:rPr>
        <w:t>。</w:t>
      </w:r>
    </w:p>
    <w:p w14:paraId="36FE5366">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3.参选文件封装要求</w:t>
      </w:r>
      <w:r>
        <w:rPr>
          <w:rFonts w:hint="eastAsia" w:ascii="仿宋_GB2312" w:hAnsi="宋体" w:eastAsia="仿宋_GB2312"/>
          <w:sz w:val="32"/>
          <w:szCs w:val="32"/>
          <w:lang w:eastAsia="zh-CN"/>
        </w:rPr>
        <w:t>：</w:t>
      </w:r>
      <w:r>
        <w:rPr>
          <w:rFonts w:hint="eastAsia" w:ascii="仿宋_GB2312" w:eastAsia="仿宋_GB2312"/>
          <w:sz w:val="32"/>
          <w:szCs w:val="32"/>
        </w:rPr>
        <w:t>所有参选文件纸质材料（正本</w:t>
      </w:r>
      <w:r>
        <w:rPr>
          <w:rFonts w:hint="eastAsia" w:ascii="仿宋_GB2312" w:eastAsia="仿宋_GB2312"/>
          <w:sz w:val="32"/>
          <w:szCs w:val="32"/>
          <w:lang w:eastAsia="zh-CN"/>
        </w:rPr>
        <w:t>壹</w:t>
      </w:r>
      <w:r>
        <w:rPr>
          <w:rFonts w:hint="eastAsia" w:ascii="仿宋_GB2312" w:eastAsia="仿宋_GB2312"/>
          <w:sz w:val="32"/>
          <w:szCs w:val="32"/>
        </w:rPr>
        <w:t>份，副本</w:t>
      </w:r>
      <w:r>
        <w:rPr>
          <w:rFonts w:hint="eastAsia" w:ascii="仿宋_GB2312" w:eastAsia="仿宋_GB2312"/>
          <w:sz w:val="32"/>
          <w:szCs w:val="32"/>
          <w:lang w:eastAsia="zh-CN"/>
        </w:rPr>
        <w:t>贰</w:t>
      </w:r>
      <w:r>
        <w:rPr>
          <w:rFonts w:hint="eastAsia" w:ascii="仿宋_GB2312" w:eastAsia="仿宋_GB2312"/>
          <w:sz w:val="32"/>
          <w:szCs w:val="32"/>
        </w:rPr>
        <w:t>份，装订成册并封章）送至北京市国资委国有资本经营预算处（地址：北京市通州区东夏园留庄路2号院1号楼820室）；电子版响应文件</w:t>
      </w:r>
      <w:r>
        <w:rPr>
          <w:rFonts w:hint="eastAsia" w:ascii="仿宋_GB2312" w:eastAsia="仿宋_GB2312"/>
          <w:sz w:val="32"/>
          <w:szCs w:val="32"/>
          <w:lang w:eastAsia="zh-CN"/>
        </w:rPr>
        <w:t>壹</w:t>
      </w:r>
      <w:r>
        <w:rPr>
          <w:rFonts w:hint="eastAsia" w:ascii="仿宋_GB2312" w:eastAsia="仿宋_GB2312"/>
          <w:sz w:val="32"/>
          <w:szCs w:val="32"/>
        </w:rPr>
        <w:t>份（PDF格式文件）发送至联系邮箱（ysc@gzw.beijing.gov.cn），电子文档内容和纸质响应文件应保持完全一致，不能有缺漏</w:t>
      </w:r>
      <w:r>
        <w:rPr>
          <w:rFonts w:hint="eastAsia" w:ascii="仿宋_GB2312" w:hAnsi="宋体" w:eastAsia="仿宋_GB2312"/>
          <w:sz w:val="32"/>
          <w:szCs w:val="32"/>
        </w:rPr>
        <w:t>。</w:t>
      </w:r>
    </w:p>
    <w:p w14:paraId="06405545">
      <w:pPr>
        <w:adjustRightInd w:val="0"/>
        <w:snapToGrid w:val="0"/>
        <w:spacing w:line="360" w:lineRule="auto"/>
        <w:ind w:firstLine="640" w:firstLineChars="200"/>
        <w:outlineLvl w:val="0"/>
        <w:rPr>
          <w:rFonts w:ascii="黑体" w:hAnsi="黑体" w:eastAsia="黑体"/>
          <w:sz w:val="32"/>
          <w:szCs w:val="32"/>
        </w:rPr>
      </w:pPr>
      <w:bookmarkStart w:id="12" w:name="_Toc164167166"/>
      <w:bookmarkStart w:id="13" w:name="_Toc164167823"/>
      <w:bookmarkStart w:id="14" w:name="_Toc164166490"/>
      <w:r>
        <w:rPr>
          <w:rFonts w:hint="eastAsia" w:ascii="黑体" w:hAnsi="黑体" w:eastAsia="黑体"/>
          <w:sz w:val="32"/>
          <w:szCs w:val="32"/>
        </w:rPr>
        <w:t>二、比选办法</w:t>
      </w:r>
      <w:bookmarkEnd w:id="12"/>
      <w:bookmarkEnd w:id="13"/>
      <w:bookmarkEnd w:id="14"/>
    </w:p>
    <w:p w14:paraId="4BCE56D1">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outlineLvl w:val="1"/>
        <w:rPr>
          <w:rFonts w:ascii="楷体_GB2312" w:eastAsia="楷体_GB2312"/>
          <w:sz w:val="32"/>
          <w:szCs w:val="32"/>
        </w:rPr>
      </w:pPr>
      <w:bookmarkStart w:id="15" w:name="_Toc164166491"/>
      <w:bookmarkStart w:id="16" w:name="_Toc164167167"/>
      <w:bookmarkStart w:id="17" w:name="_Toc164167824"/>
      <w:r>
        <w:rPr>
          <w:rFonts w:hint="eastAsia" w:ascii="楷体_GB2312" w:eastAsia="楷体_GB2312"/>
          <w:sz w:val="32"/>
          <w:szCs w:val="32"/>
          <w:lang w:eastAsia="zh-CN"/>
        </w:rPr>
        <w:t>（一）</w:t>
      </w:r>
      <w:r>
        <w:rPr>
          <w:rFonts w:hint="eastAsia" w:ascii="楷体_GB2312" w:eastAsia="楷体_GB2312"/>
          <w:sz w:val="32"/>
          <w:szCs w:val="32"/>
        </w:rPr>
        <w:t>报价要求</w:t>
      </w:r>
      <w:bookmarkEnd w:id="15"/>
      <w:bookmarkEnd w:id="16"/>
      <w:bookmarkEnd w:id="17"/>
    </w:p>
    <w:p w14:paraId="1AD337E2">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1.项目限额</w:t>
      </w:r>
      <w:r>
        <w:rPr>
          <w:rFonts w:hint="eastAsia" w:ascii="仿宋_GB2312" w:eastAsia="仿宋_GB2312"/>
          <w:sz w:val="32"/>
          <w:szCs w:val="32"/>
          <w:lang w:eastAsia="zh-CN"/>
        </w:rPr>
        <w:t>（</w:t>
      </w:r>
      <w:r>
        <w:rPr>
          <w:rFonts w:hint="eastAsia" w:ascii="仿宋_GB2312" w:eastAsia="仿宋_GB2312"/>
          <w:sz w:val="32"/>
          <w:szCs w:val="32"/>
        </w:rPr>
        <w:t>预算</w:t>
      </w:r>
      <w:r>
        <w:rPr>
          <w:rFonts w:hint="eastAsia" w:ascii="仿宋_GB2312" w:eastAsia="仿宋_GB2312"/>
          <w:sz w:val="32"/>
          <w:szCs w:val="32"/>
          <w:lang w:eastAsia="zh-CN"/>
        </w:rPr>
        <w:t>）：</w:t>
      </w:r>
      <w:r>
        <w:rPr>
          <w:rFonts w:hint="eastAsia" w:ascii="仿宋_GB2312" w:eastAsia="仿宋_GB2312"/>
          <w:sz w:val="32"/>
          <w:szCs w:val="32"/>
          <w:lang w:val="en-US" w:eastAsia="zh-CN"/>
        </w:rPr>
        <w:t>28</w:t>
      </w:r>
      <w:r>
        <w:rPr>
          <w:rFonts w:hint="eastAsia" w:ascii="仿宋_GB2312" w:eastAsia="仿宋_GB2312"/>
          <w:sz w:val="32"/>
          <w:szCs w:val="32"/>
        </w:rPr>
        <w:t>万元</w:t>
      </w:r>
    </w:p>
    <w:p w14:paraId="0C1BB583">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2.参选人根据本项目要求，合算报价单。</w:t>
      </w:r>
    </w:p>
    <w:p w14:paraId="58D429DE">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outlineLvl w:val="1"/>
        <w:rPr>
          <w:rFonts w:ascii="楷体_GB2312" w:eastAsia="楷体_GB2312"/>
          <w:sz w:val="32"/>
          <w:szCs w:val="32"/>
        </w:rPr>
      </w:pPr>
      <w:bookmarkStart w:id="18" w:name="_Toc164166492"/>
      <w:bookmarkStart w:id="19" w:name="_Toc164167168"/>
      <w:bookmarkStart w:id="20" w:name="_Toc164167825"/>
      <w:r>
        <w:rPr>
          <w:rFonts w:hint="eastAsia" w:ascii="楷体_GB2312" w:eastAsia="楷体_GB2312"/>
          <w:sz w:val="32"/>
          <w:szCs w:val="32"/>
          <w:lang w:eastAsia="zh-CN"/>
        </w:rPr>
        <w:t>（二）</w:t>
      </w:r>
      <w:r>
        <w:rPr>
          <w:rFonts w:hint="eastAsia" w:ascii="楷体_GB2312" w:eastAsia="楷体_GB2312"/>
          <w:sz w:val="32"/>
          <w:szCs w:val="32"/>
        </w:rPr>
        <w:t>比选标准</w:t>
      </w:r>
      <w:bookmarkEnd w:id="18"/>
      <w:bookmarkEnd w:id="19"/>
      <w:bookmarkEnd w:id="20"/>
    </w:p>
    <w:p w14:paraId="5DE8F616">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本次比选采用1.</w:t>
      </w:r>
      <w:r>
        <w:rPr>
          <w:rFonts w:hint="eastAsia" w:ascii="仿宋_GB2312" w:eastAsia="仿宋_GB2312"/>
          <w:sz w:val="32"/>
          <w:szCs w:val="32"/>
        </w:rPr>
        <w:sym w:font="Wingdings" w:char="F0A8"/>
      </w:r>
      <w:r>
        <w:rPr>
          <w:rFonts w:hint="eastAsia" w:ascii="仿宋_GB2312" w:eastAsia="仿宋_GB2312"/>
          <w:sz w:val="32"/>
          <w:szCs w:val="32"/>
        </w:rPr>
        <w:t>最低价成交法2.</w:t>
      </w:r>
      <w:r>
        <w:rPr>
          <w:rFonts w:hint="eastAsia" w:ascii="仿宋_GB2312" w:eastAsia="仿宋_GB2312"/>
          <w:sz w:val="32"/>
          <w:szCs w:val="32"/>
        </w:rPr>
        <w:sym w:font="Wingdings" w:char="F0FE"/>
      </w:r>
      <w:r>
        <w:rPr>
          <w:rFonts w:hint="eastAsia" w:ascii="仿宋_GB2312" w:eastAsia="仿宋_GB2312"/>
          <w:sz w:val="32"/>
          <w:szCs w:val="32"/>
        </w:rPr>
        <w:t>综合评分法。</w:t>
      </w:r>
    </w:p>
    <w:p w14:paraId="4BAFECF2">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szCs w:val="24"/>
        </w:rPr>
      </w:pPr>
      <w:r>
        <w:rPr>
          <w:rFonts w:hint="eastAsia" w:ascii="仿宋_GB2312" w:eastAsia="仿宋_GB2312"/>
          <w:sz w:val="32"/>
          <w:szCs w:val="32"/>
        </w:rPr>
        <w:t>本次比选采用综合评分法。具体评分细则如下</w:t>
      </w:r>
      <w:r>
        <w:rPr>
          <w:rFonts w:hint="eastAsia" w:ascii="仿宋_GB2312" w:eastAsia="仿宋_GB2312"/>
          <w:sz w:val="32"/>
          <w:szCs w:val="32"/>
          <w:lang w:eastAsia="zh-CN"/>
        </w:rPr>
        <w:t>：</w:t>
      </w:r>
    </w:p>
    <w:tbl>
      <w:tblPr>
        <w:tblStyle w:val="10"/>
        <w:tblW w:w="8296" w:type="dxa"/>
        <w:jc w:val="center"/>
        <w:tblLayout w:type="fixed"/>
        <w:tblCellMar>
          <w:top w:w="0" w:type="dxa"/>
          <w:left w:w="108" w:type="dxa"/>
          <w:bottom w:w="0" w:type="dxa"/>
          <w:right w:w="108" w:type="dxa"/>
        </w:tblCellMar>
      </w:tblPr>
      <w:tblGrid>
        <w:gridCol w:w="500"/>
        <w:gridCol w:w="923"/>
        <w:gridCol w:w="679"/>
        <w:gridCol w:w="6194"/>
      </w:tblGrid>
      <w:tr w14:paraId="1823F7BC">
        <w:tblPrEx>
          <w:tblCellMar>
            <w:top w:w="0" w:type="dxa"/>
            <w:left w:w="108" w:type="dxa"/>
            <w:bottom w:w="0" w:type="dxa"/>
            <w:right w:w="108" w:type="dxa"/>
          </w:tblCellMar>
        </w:tblPrEx>
        <w:trPr>
          <w:trHeight w:val="480" w:hRule="atLeast"/>
          <w:tblHeader/>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380C940A">
            <w:pPr>
              <w:widowControl/>
              <w:adjustRightInd w:val="0"/>
              <w:snapToGrid w:val="0"/>
              <w:jc w:val="center"/>
              <w:rPr>
                <w:rFonts w:hint="eastAsia" w:ascii="仿宋_GB2312" w:hAnsi="宋体" w:eastAsia="仿宋_GB2312" w:cs="宋体"/>
                <w:b/>
                <w:bCs/>
                <w:kern w:val="0"/>
                <w:sz w:val="20"/>
                <w:szCs w:val="20"/>
              </w:rPr>
            </w:pPr>
            <w:r>
              <w:rPr>
                <w:rFonts w:hint="eastAsia" w:ascii="仿宋_GB2312" w:hAnsi="宋体" w:eastAsia="仿宋_GB2312" w:cs="宋体"/>
                <w:b/>
                <w:bCs/>
                <w:kern w:val="0"/>
                <w:sz w:val="20"/>
                <w:szCs w:val="20"/>
              </w:rPr>
              <w:t>序号</w:t>
            </w:r>
          </w:p>
        </w:tc>
        <w:tc>
          <w:tcPr>
            <w:tcW w:w="923" w:type="dxa"/>
            <w:tcBorders>
              <w:top w:val="single" w:color="auto" w:sz="4" w:space="0"/>
              <w:left w:val="nil"/>
              <w:bottom w:val="single" w:color="auto" w:sz="4" w:space="0"/>
              <w:right w:val="single" w:color="auto" w:sz="4" w:space="0"/>
            </w:tcBorders>
            <w:shd w:val="clear" w:color="auto" w:fill="auto"/>
            <w:vAlign w:val="center"/>
          </w:tcPr>
          <w:p w14:paraId="1673CD89">
            <w:pPr>
              <w:widowControl/>
              <w:adjustRightInd w:val="0"/>
              <w:snapToGrid w:val="0"/>
              <w:jc w:val="center"/>
              <w:rPr>
                <w:rFonts w:hint="eastAsia" w:ascii="仿宋_GB2312" w:hAnsi="宋体" w:eastAsia="仿宋_GB2312" w:cs="宋体"/>
                <w:b/>
                <w:bCs/>
                <w:kern w:val="0"/>
                <w:sz w:val="20"/>
                <w:szCs w:val="20"/>
              </w:rPr>
            </w:pPr>
            <w:r>
              <w:rPr>
                <w:rFonts w:hint="eastAsia" w:ascii="仿宋_GB2312" w:hAnsi="宋体" w:eastAsia="仿宋_GB2312" w:cs="宋体"/>
                <w:b/>
                <w:bCs/>
                <w:kern w:val="0"/>
                <w:sz w:val="20"/>
                <w:szCs w:val="20"/>
              </w:rPr>
              <w:t>评审内容</w:t>
            </w:r>
          </w:p>
        </w:tc>
        <w:tc>
          <w:tcPr>
            <w:tcW w:w="679" w:type="dxa"/>
            <w:tcBorders>
              <w:top w:val="single" w:color="auto" w:sz="4" w:space="0"/>
              <w:left w:val="nil"/>
              <w:bottom w:val="single" w:color="auto" w:sz="4" w:space="0"/>
              <w:right w:val="single" w:color="auto" w:sz="4" w:space="0"/>
            </w:tcBorders>
            <w:shd w:val="clear" w:color="auto" w:fill="auto"/>
            <w:vAlign w:val="center"/>
          </w:tcPr>
          <w:p w14:paraId="27DB911C">
            <w:pPr>
              <w:widowControl/>
              <w:adjustRightInd w:val="0"/>
              <w:snapToGrid w:val="0"/>
              <w:jc w:val="center"/>
              <w:rPr>
                <w:rFonts w:hint="eastAsia" w:ascii="仿宋_GB2312" w:hAnsi="宋体" w:eastAsia="仿宋_GB2312" w:cs="宋体"/>
                <w:b/>
                <w:bCs/>
                <w:kern w:val="0"/>
                <w:sz w:val="20"/>
                <w:szCs w:val="20"/>
              </w:rPr>
            </w:pPr>
            <w:r>
              <w:rPr>
                <w:rFonts w:hint="eastAsia" w:ascii="仿宋_GB2312" w:hAnsi="宋体" w:eastAsia="仿宋_GB2312" w:cs="宋体"/>
                <w:b/>
                <w:bCs/>
                <w:kern w:val="0"/>
                <w:sz w:val="20"/>
                <w:szCs w:val="20"/>
              </w:rPr>
              <w:t>标准分</w:t>
            </w:r>
          </w:p>
        </w:tc>
        <w:tc>
          <w:tcPr>
            <w:tcW w:w="6194" w:type="dxa"/>
            <w:tcBorders>
              <w:top w:val="single" w:color="auto" w:sz="4" w:space="0"/>
              <w:left w:val="nil"/>
              <w:bottom w:val="single" w:color="auto" w:sz="4" w:space="0"/>
              <w:right w:val="single" w:color="auto" w:sz="4" w:space="0"/>
            </w:tcBorders>
            <w:shd w:val="clear" w:color="auto" w:fill="auto"/>
            <w:vAlign w:val="center"/>
          </w:tcPr>
          <w:p w14:paraId="6E29542D">
            <w:pPr>
              <w:widowControl/>
              <w:adjustRightInd w:val="0"/>
              <w:snapToGrid w:val="0"/>
              <w:jc w:val="center"/>
              <w:rPr>
                <w:rFonts w:hint="eastAsia" w:ascii="仿宋_GB2312" w:hAnsi="宋体" w:eastAsia="仿宋_GB2312" w:cs="宋体"/>
                <w:b/>
                <w:bCs/>
                <w:kern w:val="0"/>
                <w:sz w:val="20"/>
                <w:szCs w:val="20"/>
              </w:rPr>
            </w:pPr>
            <w:r>
              <w:rPr>
                <w:rFonts w:hint="eastAsia" w:ascii="仿宋_GB2312" w:hAnsi="宋体" w:eastAsia="仿宋_GB2312" w:cs="宋体"/>
                <w:b/>
                <w:bCs/>
                <w:kern w:val="0"/>
                <w:sz w:val="20"/>
                <w:szCs w:val="20"/>
              </w:rPr>
              <w:t>评审标准</w:t>
            </w:r>
          </w:p>
        </w:tc>
      </w:tr>
      <w:tr w14:paraId="4DA020BD">
        <w:tblPrEx>
          <w:tblCellMar>
            <w:top w:w="0" w:type="dxa"/>
            <w:left w:w="108" w:type="dxa"/>
            <w:bottom w:w="0" w:type="dxa"/>
            <w:right w:w="108" w:type="dxa"/>
          </w:tblCellMar>
        </w:tblPrEx>
        <w:trPr>
          <w:trHeight w:val="1151" w:hRule="atLeast"/>
          <w:jc w:val="center"/>
        </w:trPr>
        <w:tc>
          <w:tcPr>
            <w:tcW w:w="500" w:type="dxa"/>
            <w:tcBorders>
              <w:top w:val="nil"/>
              <w:left w:val="single" w:color="auto" w:sz="4" w:space="0"/>
              <w:bottom w:val="single" w:color="auto" w:sz="4" w:space="0"/>
              <w:right w:val="single" w:color="auto" w:sz="4" w:space="0"/>
            </w:tcBorders>
            <w:shd w:val="clear" w:color="auto" w:fill="auto"/>
            <w:vAlign w:val="center"/>
          </w:tcPr>
          <w:p w14:paraId="7DBBC8DD">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w:t>
            </w:r>
          </w:p>
        </w:tc>
        <w:tc>
          <w:tcPr>
            <w:tcW w:w="923" w:type="dxa"/>
            <w:tcBorders>
              <w:top w:val="nil"/>
              <w:left w:val="nil"/>
              <w:bottom w:val="single" w:color="auto" w:sz="4" w:space="0"/>
              <w:right w:val="single" w:color="auto" w:sz="4" w:space="0"/>
            </w:tcBorders>
            <w:shd w:val="clear" w:color="auto" w:fill="auto"/>
            <w:vAlign w:val="center"/>
          </w:tcPr>
          <w:p w14:paraId="13A2FDBA">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从事投资基金相关评审、绩效管理、课题研究等经验</w:t>
            </w:r>
          </w:p>
        </w:tc>
        <w:tc>
          <w:tcPr>
            <w:tcW w:w="679" w:type="dxa"/>
            <w:tcBorders>
              <w:top w:val="nil"/>
              <w:left w:val="nil"/>
              <w:bottom w:val="single" w:color="auto" w:sz="4" w:space="0"/>
              <w:right w:val="single" w:color="auto" w:sz="4" w:space="0"/>
            </w:tcBorders>
            <w:shd w:val="clear" w:color="auto" w:fill="auto"/>
            <w:vAlign w:val="center"/>
          </w:tcPr>
          <w:p w14:paraId="6917CA53">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20</w:t>
            </w:r>
          </w:p>
        </w:tc>
        <w:tc>
          <w:tcPr>
            <w:tcW w:w="6194" w:type="dxa"/>
            <w:tcBorders>
              <w:top w:val="nil"/>
              <w:left w:val="nil"/>
              <w:bottom w:val="single" w:color="auto" w:sz="4" w:space="0"/>
              <w:right w:val="single" w:color="auto" w:sz="4" w:space="0"/>
            </w:tcBorders>
            <w:shd w:val="clear" w:color="auto" w:fill="auto"/>
            <w:vAlign w:val="center"/>
          </w:tcPr>
          <w:p w14:paraId="1D0BA66E">
            <w:pPr>
              <w:widowControl/>
              <w:adjustRightInd w:val="0"/>
              <w:snapToGrid w:val="0"/>
              <w:rPr>
                <w:rFonts w:hint="eastAsia" w:ascii="仿宋_GB2312" w:hAnsi="宋体" w:eastAsia="仿宋_GB2312" w:cs="宋体"/>
                <w:kern w:val="0"/>
                <w:sz w:val="20"/>
                <w:szCs w:val="20"/>
              </w:rPr>
            </w:pPr>
            <w:r>
              <w:rPr>
                <w:rFonts w:hint="eastAsia" w:ascii="仿宋_GB2312" w:hAnsi="宋体" w:eastAsia="仿宋_GB2312" w:cs="宋体"/>
                <w:kern w:val="0"/>
                <w:sz w:val="20"/>
                <w:szCs w:val="20"/>
                <w:highlight w:val="none"/>
              </w:rPr>
              <w:t>202</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年1月1日至今，</w:t>
            </w:r>
            <w:r>
              <w:rPr>
                <w:rFonts w:hint="eastAsia" w:ascii="仿宋_GB2312" w:hAnsi="宋体" w:eastAsia="仿宋_GB2312" w:cs="宋体"/>
                <w:kern w:val="0"/>
                <w:sz w:val="20"/>
                <w:szCs w:val="20"/>
              </w:rPr>
              <w:t>参与过省级（含）政府部门以上或省级以上政府投资基金委托的与本项目相关的投资基金方面绩效管理、课题研究等工作经验，每提供一项</w:t>
            </w:r>
            <w:r>
              <w:rPr>
                <w:rFonts w:hint="eastAsia" w:ascii="仿宋_GB2312" w:hAnsi="宋体" w:eastAsia="仿宋_GB2312" w:cs="宋体"/>
                <w:kern w:val="0"/>
                <w:sz w:val="20"/>
                <w:szCs w:val="20"/>
                <w:lang w:val="en-US" w:eastAsia="zh-CN"/>
              </w:rPr>
              <w:t>基金相关业绩</w:t>
            </w:r>
            <w:r>
              <w:rPr>
                <w:rFonts w:hint="eastAsia" w:ascii="仿宋_GB2312" w:hAnsi="宋体" w:eastAsia="仿宋_GB2312" w:cs="宋体"/>
                <w:kern w:val="0"/>
                <w:sz w:val="20"/>
                <w:szCs w:val="20"/>
              </w:rPr>
              <w:t>得</w:t>
            </w:r>
            <w:r>
              <w:rPr>
                <w:rFonts w:hint="eastAsia" w:ascii="仿宋_GB2312" w:hAnsi="宋体" w:eastAsia="仿宋_GB2312" w:cs="宋体"/>
                <w:kern w:val="0"/>
                <w:sz w:val="20"/>
                <w:szCs w:val="20"/>
                <w:lang w:val="en-US" w:eastAsia="zh-CN"/>
              </w:rPr>
              <w:t>2</w:t>
            </w:r>
            <w:r>
              <w:rPr>
                <w:rFonts w:hint="eastAsia" w:ascii="仿宋_GB2312" w:hAnsi="宋体" w:eastAsia="仿宋_GB2312" w:cs="宋体"/>
                <w:kern w:val="0"/>
                <w:sz w:val="20"/>
                <w:szCs w:val="20"/>
              </w:rPr>
              <w:t>分，该指标满分</w:t>
            </w:r>
            <w:r>
              <w:rPr>
                <w:rFonts w:hint="eastAsia" w:ascii="仿宋_GB2312" w:hAnsi="宋体" w:eastAsia="仿宋_GB2312" w:cs="宋体"/>
                <w:kern w:val="0"/>
                <w:sz w:val="20"/>
                <w:szCs w:val="20"/>
                <w:lang w:val="en-US" w:eastAsia="zh-CN"/>
              </w:rPr>
              <w:t>20</w:t>
            </w:r>
            <w:r>
              <w:rPr>
                <w:rFonts w:hint="eastAsia" w:ascii="仿宋_GB2312" w:hAnsi="宋体" w:eastAsia="仿宋_GB2312" w:cs="宋体"/>
                <w:kern w:val="0"/>
                <w:sz w:val="20"/>
                <w:szCs w:val="20"/>
              </w:rPr>
              <w:t>分。（最多提供10个项目，多于10个的，按照顺序以前10个项目进行打分。）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供应商需提供项目委托单位证明或业绩合同。</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注：须提供合同首页、双方签字盖章页并加盖公司公章，未提供证明文件或证明文件未加盖公章的得0分。</w:t>
            </w:r>
          </w:p>
        </w:tc>
      </w:tr>
      <w:tr w14:paraId="3CBC6E71">
        <w:tblPrEx>
          <w:tblCellMar>
            <w:top w:w="0" w:type="dxa"/>
            <w:left w:w="108" w:type="dxa"/>
            <w:bottom w:w="0" w:type="dxa"/>
            <w:right w:w="108" w:type="dxa"/>
          </w:tblCellMar>
        </w:tblPrEx>
        <w:trPr>
          <w:trHeight w:val="90" w:hRule="atLeast"/>
          <w:jc w:val="center"/>
        </w:trPr>
        <w:tc>
          <w:tcPr>
            <w:tcW w:w="500" w:type="dxa"/>
            <w:tcBorders>
              <w:top w:val="nil"/>
              <w:left w:val="single" w:color="auto" w:sz="4" w:space="0"/>
              <w:bottom w:val="single" w:color="auto" w:sz="4" w:space="0"/>
              <w:right w:val="single" w:color="auto" w:sz="4" w:space="0"/>
            </w:tcBorders>
            <w:shd w:val="clear" w:color="auto" w:fill="auto"/>
            <w:vAlign w:val="center"/>
          </w:tcPr>
          <w:p w14:paraId="5CD14B6C">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w:t>
            </w:r>
          </w:p>
        </w:tc>
        <w:tc>
          <w:tcPr>
            <w:tcW w:w="923" w:type="dxa"/>
            <w:tcBorders>
              <w:top w:val="nil"/>
              <w:left w:val="nil"/>
              <w:bottom w:val="single" w:color="auto" w:sz="4" w:space="0"/>
              <w:right w:val="single" w:color="auto" w:sz="4" w:space="0"/>
            </w:tcBorders>
            <w:shd w:val="clear" w:color="auto" w:fill="auto"/>
            <w:vAlign w:val="center"/>
          </w:tcPr>
          <w:p w14:paraId="1A062395">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拟派驻人员资格资历评分</w:t>
            </w:r>
          </w:p>
        </w:tc>
        <w:tc>
          <w:tcPr>
            <w:tcW w:w="679" w:type="dxa"/>
            <w:tcBorders>
              <w:top w:val="nil"/>
              <w:left w:val="nil"/>
              <w:bottom w:val="single" w:color="auto" w:sz="4" w:space="0"/>
              <w:right w:val="single" w:color="auto" w:sz="4" w:space="0"/>
            </w:tcBorders>
            <w:shd w:val="clear" w:color="auto" w:fill="auto"/>
            <w:vAlign w:val="center"/>
          </w:tcPr>
          <w:p w14:paraId="4FBABE31">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w:t>
            </w:r>
            <w:r>
              <w:rPr>
                <w:rFonts w:hint="eastAsia" w:ascii="仿宋_GB2312" w:hAnsi="宋体" w:eastAsia="仿宋_GB2312" w:cs="宋体"/>
                <w:kern w:val="0"/>
                <w:sz w:val="20"/>
                <w:szCs w:val="20"/>
                <w:lang w:val="en-US" w:eastAsia="zh-CN"/>
              </w:rPr>
              <w:t>5</w:t>
            </w:r>
          </w:p>
        </w:tc>
        <w:tc>
          <w:tcPr>
            <w:tcW w:w="6194" w:type="dxa"/>
            <w:tcBorders>
              <w:top w:val="nil"/>
              <w:left w:val="nil"/>
              <w:bottom w:val="single" w:color="auto" w:sz="4" w:space="0"/>
              <w:right w:val="single" w:color="auto" w:sz="4" w:space="0"/>
            </w:tcBorders>
            <w:shd w:val="clear" w:color="auto" w:fill="auto"/>
            <w:vAlign w:val="center"/>
          </w:tcPr>
          <w:p w14:paraId="21A407FE">
            <w:pPr>
              <w:widowControl/>
              <w:adjustRightInd w:val="0"/>
              <w:snapToGrid w:val="0"/>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供应商应提供保证在为采购人工作期间有不少于8人的稳定团队</w:t>
            </w:r>
            <w:r>
              <w:rPr>
                <w:rFonts w:hint="eastAsia" w:ascii="仿宋_GB2312" w:hAnsi="宋体" w:eastAsia="仿宋_GB2312" w:cs="宋体"/>
                <w:kern w:val="0"/>
                <w:sz w:val="20"/>
                <w:szCs w:val="20"/>
                <w:lang w:eastAsia="zh-CN"/>
              </w:rPr>
              <w:t>，</w:t>
            </w:r>
            <w:r>
              <w:rPr>
                <w:rFonts w:hint="eastAsia" w:ascii="仿宋_GB2312" w:hAnsi="宋体" w:eastAsia="仿宋_GB2312" w:cs="宋体"/>
                <w:kern w:val="0"/>
                <w:sz w:val="20"/>
                <w:szCs w:val="20"/>
                <w:lang w:val="en-US" w:eastAsia="zh-CN"/>
              </w:rPr>
              <w:t>工作人员</w:t>
            </w:r>
            <w:r>
              <w:rPr>
                <w:rFonts w:hint="eastAsia" w:ascii="仿宋_GB2312" w:hAnsi="宋体" w:eastAsia="仿宋_GB2312" w:cs="宋体"/>
                <w:kern w:val="0"/>
                <w:sz w:val="20"/>
                <w:szCs w:val="20"/>
              </w:rPr>
              <w:t>中：</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1.每名具有高级工程师或副研究员或高级会计师或高级经济师或注册会计师或注册资产评估师的，得3分，最高6分；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2.每名具有会计师或经济师或基金从业资格的，得2分，最高6分；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3.每名具有三年相关工作经验以上的，得1分，最高3分。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（最少提供8名人员信息，提供人数多于8人的，按照投标文件所提供人员列表顺序的前8名人员进行打分。且必须与派驻人员一致。）</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lang w:val="en-US" w:eastAsia="zh-CN"/>
              </w:rPr>
              <w:t>注：</w:t>
            </w:r>
            <w:r>
              <w:rPr>
                <w:rFonts w:hint="eastAsia" w:ascii="仿宋_GB2312" w:hAnsi="宋体" w:eastAsia="仿宋_GB2312" w:cs="宋体"/>
                <w:kern w:val="0"/>
                <w:sz w:val="20"/>
                <w:szCs w:val="20"/>
              </w:rPr>
              <w:t>需列表提供人员职业资格情况列表，并提供相关证书</w:t>
            </w:r>
            <w:r>
              <w:rPr>
                <w:rFonts w:hint="eastAsia" w:ascii="仿宋_GB2312" w:hAnsi="宋体" w:eastAsia="仿宋_GB2312" w:cs="宋体"/>
                <w:kern w:val="0"/>
                <w:sz w:val="20"/>
                <w:szCs w:val="20"/>
                <w:lang w:eastAsia="zh-CN"/>
              </w:rPr>
              <w:t>，拟派驻团队人数不足8人的，每少1人扣2分，扣完本项分值为止。</w:t>
            </w:r>
          </w:p>
        </w:tc>
      </w:tr>
      <w:tr w14:paraId="52A73D01">
        <w:tblPrEx>
          <w:tblCellMar>
            <w:top w:w="0" w:type="dxa"/>
            <w:left w:w="108" w:type="dxa"/>
            <w:bottom w:w="0" w:type="dxa"/>
            <w:right w:w="108" w:type="dxa"/>
          </w:tblCellMar>
        </w:tblPrEx>
        <w:trPr>
          <w:trHeight w:val="992" w:hRule="atLeast"/>
          <w:jc w:val="center"/>
        </w:trPr>
        <w:tc>
          <w:tcPr>
            <w:tcW w:w="500" w:type="dxa"/>
            <w:tcBorders>
              <w:top w:val="nil"/>
              <w:left w:val="single" w:color="auto" w:sz="4" w:space="0"/>
              <w:bottom w:val="single" w:color="auto" w:sz="4" w:space="0"/>
              <w:right w:val="single" w:color="auto" w:sz="4" w:space="0"/>
            </w:tcBorders>
            <w:shd w:val="clear" w:color="auto" w:fill="auto"/>
            <w:vAlign w:val="center"/>
          </w:tcPr>
          <w:p w14:paraId="4D5AA8CD">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3</w:t>
            </w:r>
          </w:p>
        </w:tc>
        <w:tc>
          <w:tcPr>
            <w:tcW w:w="923" w:type="dxa"/>
            <w:tcBorders>
              <w:top w:val="nil"/>
              <w:left w:val="nil"/>
              <w:bottom w:val="single" w:color="auto" w:sz="4" w:space="0"/>
              <w:right w:val="single" w:color="auto" w:sz="4" w:space="0"/>
            </w:tcBorders>
            <w:shd w:val="clear" w:color="auto" w:fill="auto"/>
            <w:vAlign w:val="center"/>
          </w:tcPr>
          <w:p w14:paraId="2435669B">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团队管理及保障方案</w:t>
            </w:r>
          </w:p>
        </w:tc>
        <w:tc>
          <w:tcPr>
            <w:tcW w:w="679" w:type="dxa"/>
            <w:tcBorders>
              <w:top w:val="nil"/>
              <w:left w:val="nil"/>
              <w:bottom w:val="single" w:color="auto" w:sz="4" w:space="0"/>
              <w:right w:val="single" w:color="auto" w:sz="4" w:space="0"/>
            </w:tcBorders>
            <w:shd w:val="clear" w:color="auto" w:fill="auto"/>
            <w:vAlign w:val="center"/>
          </w:tcPr>
          <w:p w14:paraId="213B708D">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15</w:t>
            </w:r>
          </w:p>
        </w:tc>
        <w:tc>
          <w:tcPr>
            <w:tcW w:w="6194" w:type="dxa"/>
            <w:tcBorders>
              <w:top w:val="nil"/>
              <w:left w:val="nil"/>
              <w:bottom w:val="single" w:color="auto" w:sz="4" w:space="0"/>
              <w:right w:val="single" w:color="auto" w:sz="4" w:space="0"/>
            </w:tcBorders>
            <w:shd w:val="clear" w:color="auto" w:fill="auto"/>
            <w:vAlign w:val="center"/>
          </w:tcPr>
          <w:p w14:paraId="30A9747D">
            <w:pPr>
              <w:widowControl/>
              <w:adjustRightInd w:val="0"/>
              <w:snapToGrid w:val="0"/>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1.团队管理制度。制度与项目实施相关且全面得3分，否则不得分；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2.对突发事件有相应的应急预案和解决措施，并有完善的后续服务保证措施。</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要求措施得当、能够解决问题、后续服务能够保证，具有可执行及可操作性的得6分，具有一定可执行及可操作性的得3分，未提供不得分；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3.安全及保密控制方案。有相应的流程、制度、设备、软件加强对档案的控制，保证文件原件及档案信息的安全及保密。具有可执行及可操作性的得6分，具有一定可执行及可操作性的得3分，未提供不得分。</w:t>
            </w:r>
          </w:p>
        </w:tc>
      </w:tr>
      <w:tr w14:paraId="36B44ECF">
        <w:tblPrEx>
          <w:tblCellMar>
            <w:top w:w="0" w:type="dxa"/>
            <w:left w:w="108" w:type="dxa"/>
            <w:bottom w:w="0" w:type="dxa"/>
            <w:right w:w="108" w:type="dxa"/>
          </w:tblCellMar>
        </w:tblPrEx>
        <w:trPr>
          <w:trHeight w:val="1399" w:hRule="atLeast"/>
          <w:jc w:val="center"/>
        </w:trPr>
        <w:tc>
          <w:tcPr>
            <w:tcW w:w="500" w:type="dxa"/>
            <w:tcBorders>
              <w:top w:val="nil"/>
              <w:left w:val="single" w:color="auto" w:sz="4" w:space="0"/>
              <w:bottom w:val="single" w:color="auto" w:sz="4" w:space="0"/>
              <w:right w:val="single" w:color="auto" w:sz="4" w:space="0"/>
            </w:tcBorders>
            <w:shd w:val="clear" w:color="auto" w:fill="auto"/>
            <w:vAlign w:val="center"/>
          </w:tcPr>
          <w:p w14:paraId="68B7C281">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4</w:t>
            </w:r>
          </w:p>
        </w:tc>
        <w:tc>
          <w:tcPr>
            <w:tcW w:w="923" w:type="dxa"/>
            <w:tcBorders>
              <w:top w:val="nil"/>
              <w:left w:val="nil"/>
              <w:bottom w:val="single" w:color="auto" w:sz="4" w:space="0"/>
              <w:right w:val="single" w:color="auto" w:sz="4" w:space="0"/>
            </w:tcBorders>
            <w:shd w:val="clear" w:color="auto" w:fill="auto"/>
            <w:vAlign w:val="center"/>
          </w:tcPr>
          <w:p w14:paraId="055840CB">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服务方案</w:t>
            </w:r>
          </w:p>
        </w:tc>
        <w:tc>
          <w:tcPr>
            <w:tcW w:w="679" w:type="dxa"/>
            <w:tcBorders>
              <w:top w:val="nil"/>
              <w:left w:val="nil"/>
              <w:bottom w:val="single" w:color="auto" w:sz="4" w:space="0"/>
              <w:right w:val="single" w:color="auto" w:sz="4" w:space="0"/>
            </w:tcBorders>
            <w:shd w:val="clear" w:color="auto" w:fill="auto"/>
            <w:vAlign w:val="center"/>
          </w:tcPr>
          <w:p w14:paraId="7FA86A16">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4</w:t>
            </w:r>
            <w:r>
              <w:rPr>
                <w:rFonts w:hint="eastAsia" w:ascii="仿宋_GB2312" w:hAnsi="宋体" w:eastAsia="仿宋_GB2312" w:cs="宋体"/>
                <w:kern w:val="0"/>
                <w:sz w:val="20"/>
                <w:szCs w:val="20"/>
              </w:rPr>
              <w:t>0</w:t>
            </w:r>
          </w:p>
        </w:tc>
        <w:tc>
          <w:tcPr>
            <w:tcW w:w="6194" w:type="dxa"/>
            <w:tcBorders>
              <w:top w:val="nil"/>
              <w:left w:val="nil"/>
              <w:bottom w:val="single" w:color="auto" w:sz="4" w:space="0"/>
              <w:right w:val="single" w:color="auto" w:sz="4" w:space="0"/>
            </w:tcBorders>
            <w:shd w:val="clear" w:color="auto" w:fill="auto"/>
            <w:vAlign w:val="center"/>
          </w:tcPr>
          <w:p w14:paraId="161BAD5E">
            <w:pPr>
              <w:widowControl/>
              <w:adjustRightInd w:val="0"/>
              <w:snapToGrid w:val="0"/>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供应商提供的服务方案内容全面，结合实际情况，针对性强，规范完整，工作服务方案得当，服务的目标、任务、标准、要求、进度安排合理，各项工作、时间、人员安排合理，具有可执行和可操作性的得</w:t>
            </w:r>
            <w:r>
              <w:rPr>
                <w:rFonts w:hint="eastAsia" w:ascii="仿宋_GB2312" w:hAnsi="宋体" w:eastAsia="仿宋_GB2312" w:cs="宋体"/>
                <w:kern w:val="0"/>
                <w:sz w:val="20"/>
                <w:szCs w:val="20"/>
                <w:lang w:val="en-US" w:eastAsia="zh-CN"/>
              </w:rPr>
              <w:t>30</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4</w:t>
            </w:r>
            <w:r>
              <w:rPr>
                <w:rFonts w:hint="eastAsia" w:ascii="仿宋_GB2312" w:hAnsi="宋体" w:eastAsia="仿宋_GB2312" w:cs="宋体"/>
                <w:kern w:val="0"/>
                <w:sz w:val="20"/>
                <w:szCs w:val="20"/>
              </w:rPr>
              <w:t>0分；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能够基本结合实际情况，有一定针对性，较为规范完整，服务方案基本可行，服务的目标、任务、标准、要求、进度安排比较合理服务方案，各项工作、时间、人员安排较合理，具有一定的可执行和可操作性的得</w:t>
            </w:r>
            <w:r>
              <w:rPr>
                <w:rFonts w:hint="eastAsia" w:ascii="仿宋_GB2312" w:hAnsi="宋体" w:eastAsia="仿宋_GB2312" w:cs="宋体"/>
                <w:kern w:val="0"/>
                <w:sz w:val="20"/>
                <w:szCs w:val="20"/>
                <w:lang w:val="en-US" w:eastAsia="zh-CN"/>
              </w:rPr>
              <w:t>20</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3</w:t>
            </w:r>
            <w:r>
              <w:rPr>
                <w:rFonts w:hint="eastAsia" w:ascii="仿宋_GB2312" w:hAnsi="宋体" w:eastAsia="仿宋_GB2312" w:cs="宋体"/>
                <w:kern w:val="0"/>
                <w:sz w:val="20"/>
                <w:szCs w:val="20"/>
              </w:rPr>
              <w:t>0分；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能够基本结合实际情况，针对性较弱，规范性或</w:t>
            </w:r>
            <w:r>
              <w:rPr>
                <w:rFonts w:hint="eastAsia" w:ascii="仿宋_GB2312" w:hAnsi="宋体" w:eastAsia="仿宋_GB2312" w:cs="宋体"/>
                <w:kern w:val="0"/>
                <w:sz w:val="20"/>
                <w:szCs w:val="20"/>
                <w:lang w:eastAsia="zh-CN"/>
              </w:rPr>
              <w:t>完整性</w:t>
            </w:r>
            <w:r>
              <w:rPr>
                <w:rFonts w:hint="eastAsia" w:ascii="仿宋_GB2312" w:hAnsi="宋体" w:eastAsia="仿宋_GB2312" w:cs="宋体"/>
                <w:kern w:val="0"/>
                <w:sz w:val="20"/>
                <w:szCs w:val="20"/>
              </w:rPr>
              <w:t>有缺陷，服务方案有一定可行性，服务的目标、任务、标准、要求、进度安排基本合理，各项工作、时间、人员安排基本合理的得1-</w:t>
            </w:r>
            <w:r>
              <w:rPr>
                <w:rFonts w:hint="eastAsia" w:ascii="仿宋_GB2312" w:hAnsi="宋体" w:eastAsia="仿宋_GB2312" w:cs="宋体"/>
                <w:kern w:val="0"/>
                <w:sz w:val="20"/>
                <w:szCs w:val="20"/>
                <w:lang w:val="en-US" w:eastAsia="zh-CN"/>
              </w:rPr>
              <w:t>2</w:t>
            </w:r>
            <w:r>
              <w:rPr>
                <w:rFonts w:hint="eastAsia" w:ascii="仿宋_GB2312" w:hAnsi="宋体" w:eastAsia="仿宋_GB2312" w:cs="宋体"/>
                <w:kern w:val="0"/>
                <w:sz w:val="20"/>
                <w:szCs w:val="20"/>
              </w:rPr>
              <w:t>0分；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未提供不得分。</w:t>
            </w:r>
          </w:p>
        </w:tc>
      </w:tr>
      <w:tr w14:paraId="1E39A86B">
        <w:tblPrEx>
          <w:tblCellMar>
            <w:top w:w="0" w:type="dxa"/>
            <w:left w:w="108" w:type="dxa"/>
            <w:bottom w:w="0" w:type="dxa"/>
            <w:right w:w="108" w:type="dxa"/>
          </w:tblCellMar>
        </w:tblPrEx>
        <w:trPr>
          <w:trHeight w:val="90" w:hRule="atLeast"/>
          <w:jc w:val="center"/>
        </w:trPr>
        <w:tc>
          <w:tcPr>
            <w:tcW w:w="500" w:type="dxa"/>
            <w:tcBorders>
              <w:top w:val="nil"/>
              <w:left w:val="single" w:color="auto" w:sz="4" w:space="0"/>
              <w:bottom w:val="single" w:color="auto" w:sz="4" w:space="0"/>
              <w:right w:val="single" w:color="auto" w:sz="4" w:space="0"/>
            </w:tcBorders>
            <w:shd w:val="clear" w:color="auto" w:fill="auto"/>
            <w:vAlign w:val="center"/>
          </w:tcPr>
          <w:p w14:paraId="1F928D7F">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923" w:type="dxa"/>
            <w:tcBorders>
              <w:top w:val="nil"/>
              <w:left w:val="nil"/>
              <w:bottom w:val="single" w:color="auto" w:sz="4" w:space="0"/>
              <w:right w:val="single" w:color="auto" w:sz="4" w:space="0"/>
            </w:tcBorders>
            <w:shd w:val="clear" w:color="auto" w:fill="auto"/>
            <w:vAlign w:val="center"/>
          </w:tcPr>
          <w:p w14:paraId="0483D3B1">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价格得分</w:t>
            </w:r>
          </w:p>
        </w:tc>
        <w:tc>
          <w:tcPr>
            <w:tcW w:w="679" w:type="dxa"/>
            <w:tcBorders>
              <w:top w:val="nil"/>
              <w:left w:val="nil"/>
              <w:bottom w:val="single" w:color="auto" w:sz="4" w:space="0"/>
              <w:right w:val="single" w:color="auto" w:sz="4" w:space="0"/>
            </w:tcBorders>
            <w:shd w:val="clear" w:color="auto" w:fill="auto"/>
            <w:vAlign w:val="center"/>
          </w:tcPr>
          <w:p w14:paraId="28A1CE13">
            <w:pPr>
              <w:widowControl/>
              <w:adjustRightInd w:val="0"/>
              <w:snapToGrid w:val="0"/>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1</w:t>
            </w:r>
            <w:r>
              <w:rPr>
                <w:rFonts w:hint="eastAsia" w:ascii="仿宋_GB2312" w:hAnsi="宋体" w:eastAsia="仿宋_GB2312" w:cs="宋体"/>
                <w:kern w:val="0"/>
                <w:sz w:val="20"/>
                <w:szCs w:val="20"/>
              </w:rPr>
              <w:t>0</w:t>
            </w:r>
          </w:p>
        </w:tc>
        <w:tc>
          <w:tcPr>
            <w:tcW w:w="6194" w:type="dxa"/>
            <w:tcBorders>
              <w:top w:val="nil"/>
              <w:left w:val="nil"/>
              <w:bottom w:val="single" w:color="auto" w:sz="4" w:space="0"/>
              <w:right w:val="single" w:color="auto" w:sz="4" w:space="0"/>
            </w:tcBorders>
            <w:shd w:val="clear" w:color="auto" w:fill="auto"/>
            <w:vAlign w:val="center"/>
          </w:tcPr>
          <w:p w14:paraId="525AFA92">
            <w:pPr>
              <w:widowControl/>
              <w:adjustRightInd w:val="0"/>
              <w:snapToGrid w:val="0"/>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1.基准价</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评标基准价＝满足招标文件要求且投标价格最低的投标报价</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2.价格得分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评标价格＝（评标基准价/投标报价）×</w:t>
            </w:r>
            <w:r>
              <w:rPr>
                <w:rFonts w:hint="eastAsia" w:ascii="仿宋_GB2312" w:hAnsi="宋体" w:eastAsia="仿宋_GB2312" w:cs="宋体"/>
                <w:kern w:val="0"/>
                <w:sz w:val="20"/>
                <w:szCs w:val="20"/>
                <w:lang w:val="en-US" w:eastAsia="zh-CN"/>
              </w:rPr>
              <w:t>1</w:t>
            </w:r>
            <w:r>
              <w:rPr>
                <w:rFonts w:hint="eastAsia" w:ascii="仿宋_GB2312" w:hAnsi="宋体" w:eastAsia="仿宋_GB2312" w:cs="宋体"/>
                <w:kern w:val="0"/>
                <w:sz w:val="20"/>
                <w:szCs w:val="20"/>
              </w:rPr>
              <w:t>0%×100</w:t>
            </w:r>
          </w:p>
        </w:tc>
      </w:tr>
    </w:tbl>
    <w:p w14:paraId="0181F191">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outlineLvl w:val="1"/>
        <w:rPr>
          <w:rFonts w:ascii="楷体_GB2312" w:eastAsia="楷体_GB2312"/>
          <w:sz w:val="32"/>
          <w:szCs w:val="32"/>
        </w:rPr>
      </w:pPr>
      <w:bookmarkStart w:id="21" w:name="_Toc164167169"/>
      <w:bookmarkStart w:id="22" w:name="_Toc164167826"/>
      <w:bookmarkStart w:id="23" w:name="_Toc164166493"/>
      <w:r>
        <w:rPr>
          <w:rFonts w:hint="eastAsia" w:ascii="楷体_GB2312" w:eastAsia="楷体_GB2312"/>
          <w:sz w:val="32"/>
          <w:szCs w:val="32"/>
          <w:lang w:eastAsia="zh-CN"/>
        </w:rPr>
        <w:t>（三）</w:t>
      </w:r>
      <w:r>
        <w:rPr>
          <w:rFonts w:hint="eastAsia" w:ascii="楷体_GB2312" w:eastAsia="楷体_GB2312"/>
          <w:sz w:val="32"/>
          <w:szCs w:val="32"/>
        </w:rPr>
        <w:t>比选方式</w:t>
      </w:r>
      <w:bookmarkEnd w:id="21"/>
      <w:bookmarkEnd w:id="22"/>
      <w:bookmarkEnd w:id="23"/>
    </w:p>
    <w:p w14:paraId="1CAAF83A">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1.在递交响应性文件时间截止后，由市国资委组成的比选小组在规定的时间和地点进行比选。</w:t>
      </w:r>
    </w:p>
    <w:p w14:paraId="1E09CA91">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2.比选小组审阅各参选机构所递交的响应性文件。</w:t>
      </w:r>
    </w:p>
    <w:p w14:paraId="01409210">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3.比选小组按最终成绩确定中选候选人排序。</w:t>
      </w:r>
    </w:p>
    <w:p w14:paraId="18E9546E">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outlineLvl w:val="1"/>
        <w:rPr>
          <w:rFonts w:ascii="楷体_GB2312" w:eastAsia="楷体_GB2312"/>
          <w:sz w:val="32"/>
          <w:szCs w:val="32"/>
        </w:rPr>
      </w:pPr>
      <w:bookmarkStart w:id="24" w:name="_Toc164167827"/>
      <w:bookmarkStart w:id="25" w:name="_Toc164166494"/>
      <w:bookmarkStart w:id="26" w:name="_Toc164167170"/>
      <w:r>
        <w:rPr>
          <w:rFonts w:hint="eastAsia" w:ascii="楷体_GB2312" w:eastAsia="楷体_GB2312"/>
          <w:sz w:val="32"/>
          <w:szCs w:val="32"/>
          <w:lang w:eastAsia="zh-CN"/>
        </w:rPr>
        <w:t>（四）</w:t>
      </w:r>
      <w:r>
        <w:rPr>
          <w:rFonts w:hint="eastAsia" w:ascii="楷体_GB2312" w:eastAsia="楷体_GB2312"/>
          <w:sz w:val="32"/>
          <w:szCs w:val="32"/>
        </w:rPr>
        <w:t>中选人确定</w:t>
      </w:r>
      <w:bookmarkEnd w:id="24"/>
      <w:bookmarkEnd w:id="25"/>
      <w:bookmarkEnd w:id="26"/>
    </w:p>
    <w:p w14:paraId="508BCE7F">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候选人按得分高低排序，最高分为中选人。如果排名第一的候选人放弃中选、因不可抗力不能履行合同，或者被查实存在影响中选结果的违法行为等情形，不符合中选条件的，比选人可以按照评审小组提出的候选人名单排序依次确定其他候选人为中选人，也可重新比选。</w:t>
      </w:r>
    </w:p>
    <w:p w14:paraId="17550160">
      <w:pPr>
        <w:adjustRightInd w:val="0"/>
        <w:snapToGrid w:val="0"/>
        <w:spacing w:line="360" w:lineRule="auto"/>
        <w:ind w:firstLine="640" w:firstLineChars="200"/>
        <w:outlineLvl w:val="0"/>
        <w:rPr>
          <w:rFonts w:ascii="黑体" w:hAnsi="黑体" w:eastAsia="黑体"/>
          <w:sz w:val="32"/>
          <w:szCs w:val="32"/>
        </w:rPr>
      </w:pPr>
      <w:bookmarkStart w:id="27" w:name="_Toc164166495"/>
      <w:bookmarkStart w:id="28" w:name="_Toc164167171"/>
      <w:bookmarkStart w:id="29" w:name="_Toc164167828"/>
      <w:r>
        <w:rPr>
          <w:rFonts w:hint="eastAsia" w:ascii="黑体" w:hAnsi="黑体" w:eastAsia="黑体"/>
          <w:sz w:val="32"/>
          <w:szCs w:val="32"/>
        </w:rPr>
        <w:t>三、参选文件编制要求</w:t>
      </w:r>
      <w:bookmarkEnd w:id="27"/>
      <w:bookmarkEnd w:id="28"/>
      <w:bookmarkEnd w:id="29"/>
    </w:p>
    <w:p w14:paraId="72366F9D">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参选文件装订成册，主要包含以下几个部分</w:t>
      </w:r>
      <w:r>
        <w:rPr>
          <w:rFonts w:hint="eastAsia" w:ascii="仿宋_GB2312" w:hAnsi="宋体" w:eastAsia="仿宋_GB2312"/>
          <w:sz w:val="32"/>
          <w:szCs w:val="32"/>
          <w:lang w:eastAsia="zh-CN"/>
        </w:rPr>
        <w:t>：</w:t>
      </w:r>
    </w:p>
    <w:p w14:paraId="1DA7FA5A">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lang w:eastAsia="zh-CN"/>
        </w:rPr>
        <w:t>（一）</w:t>
      </w:r>
      <w:r>
        <w:rPr>
          <w:rFonts w:hint="eastAsia" w:ascii="仿宋_GB2312" w:hAnsi="宋体" w:eastAsia="仿宋_GB2312"/>
          <w:sz w:val="32"/>
          <w:szCs w:val="32"/>
        </w:rPr>
        <w:t>商务部分</w:t>
      </w:r>
    </w:p>
    <w:p w14:paraId="2D9549DD">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包括以下几项</w:t>
      </w:r>
      <w:r>
        <w:rPr>
          <w:rFonts w:hint="eastAsia" w:ascii="仿宋_GB2312" w:hAnsi="宋体" w:eastAsia="仿宋_GB2312"/>
          <w:sz w:val="32"/>
          <w:szCs w:val="32"/>
          <w:lang w:eastAsia="zh-CN"/>
        </w:rPr>
        <w:t>（</w:t>
      </w:r>
      <w:r>
        <w:rPr>
          <w:rFonts w:hint="eastAsia" w:ascii="仿宋_GB2312" w:hAnsi="宋体" w:eastAsia="仿宋_GB2312"/>
          <w:sz w:val="32"/>
          <w:szCs w:val="32"/>
        </w:rPr>
        <w:t>亦为装订顺序</w:t>
      </w:r>
      <w:r>
        <w:rPr>
          <w:rFonts w:hint="eastAsia" w:ascii="仿宋_GB2312" w:hAnsi="宋体" w:eastAsia="仿宋_GB2312"/>
          <w:sz w:val="32"/>
          <w:szCs w:val="32"/>
          <w:lang w:eastAsia="zh-CN"/>
        </w:rPr>
        <w:t>）</w:t>
      </w:r>
      <w:r>
        <w:rPr>
          <w:rFonts w:hint="eastAsia" w:ascii="仿宋_GB2312" w:hAnsi="宋体" w:eastAsia="仿宋_GB2312"/>
          <w:sz w:val="32"/>
          <w:szCs w:val="32"/>
        </w:rPr>
        <w:t>:</w:t>
      </w:r>
    </w:p>
    <w:p w14:paraId="08654FA2">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1.营业执照等证明文件（复印件加盖公章）</w:t>
      </w:r>
      <w:r>
        <w:rPr>
          <w:rFonts w:hint="eastAsia" w:ascii="仿宋_GB2312" w:hAnsi="宋体" w:eastAsia="仿宋_GB2312"/>
          <w:sz w:val="32"/>
          <w:szCs w:val="32"/>
          <w:lang w:eastAsia="zh-CN"/>
        </w:rPr>
        <w:t>；</w:t>
      </w:r>
    </w:p>
    <w:p w14:paraId="7450BE21">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2.应选确认函</w:t>
      </w:r>
      <w:r>
        <w:rPr>
          <w:rFonts w:hint="eastAsia" w:ascii="仿宋_GB2312" w:hAnsi="宋体" w:eastAsia="仿宋_GB2312"/>
          <w:sz w:val="32"/>
          <w:szCs w:val="32"/>
          <w:lang w:eastAsia="zh-CN"/>
        </w:rPr>
        <w:t>；</w:t>
      </w:r>
    </w:p>
    <w:p w14:paraId="1D759106">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3.法定代表人身份证明</w:t>
      </w:r>
      <w:r>
        <w:rPr>
          <w:rFonts w:hint="eastAsia" w:ascii="仿宋_GB2312" w:hAnsi="宋体" w:eastAsia="仿宋_GB2312"/>
          <w:sz w:val="32"/>
          <w:szCs w:val="32"/>
          <w:lang w:eastAsia="zh-CN"/>
        </w:rPr>
        <w:t>；</w:t>
      </w:r>
    </w:p>
    <w:p w14:paraId="4118F66C">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4.授权委托书（复印件加盖公章）</w:t>
      </w:r>
      <w:r>
        <w:rPr>
          <w:rFonts w:hint="eastAsia" w:ascii="仿宋_GB2312" w:hAnsi="宋体" w:eastAsia="仿宋_GB2312"/>
          <w:sz w:val="32"/>
          <w:szCs w:val="32"/>
          <w:lang w:eastAsia="zh-CN"/>
        </w:rPr>
        <w:t>；</w:t>
      </w:r>
    </w:p>
    <w:p w14:paraId="4A008968">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5.报价一览表</w:t>
      </w:r>
      <w:r>
        <w:rPr>
          <w:rFonts w:hint="eastAsia" w:ascii="仿宋_GB2312" w:hAnsi="宋体" w:eastAsia="仿宋_GB2312"/>
          <w:sz w:val="32"/>
          <w:szCs w:val="32"/>
          <w:lang w:eastAsia="zh-CN"/>
        </w:rPr>
        <w:t>；</w:t>
      </w:r>
    </w:p>
    <w:p w14:paraId="43E59A95">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6.分项报价表</w:t>
      </w:r>
      <w:r>
        <w:rPr>
          <w:rFonts w:hint="eastAsia" w:ascii="仿宋_GB2312" w:hAnsi="宋体" w:eastAsia="仿宋_GB2312"/>
          <w:sz w:val="32"/>
          <w:szCs w:val="32"/>
          <w:lang w:eastAsia="zh-CN"/>
        </w:rPr>
        <w:t>；</w:t>
      </w:r>
    </w:p>
    <w:p w14:paraId="7473FB89">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7.采购需求偏离表；</w:t>
      </w:r>
    </w:p>
    <w:p w14:paraId="4CAC4FF4">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8.公司相关业绩情况；</w:t>
      </w:r>
    </w:p>
    <w:p w14:paraId="424097F1">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9.没有重大违法记录声明；</w:t>
      </w:r>
    </w:p>
    <w:p w14:paraId="60D1E4E9">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10.比选文件要求或供应商认为应附的其他材料。</w:t>
      </w:r>
    </w:p>
    <w:p w14:paraId="3DFC0B3D">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lang w:eastAsia="zh-CN"/>
        </w:rPr>
        <w:t>（二）</w:t>
      </w:r>
      <w:r>
        <w:rPr>
          <w:rFonts w:hint="eastAsia" w:ascii="仿宋_GB2312" w:hAnsi="宋体" w:eastAsia="仿宋_GB2312"/>
          <w:sz w:val="32"/>
          <w:szCs w:val="32"/>
        </w:rPr>
        <w:t>技术部分</w:t>
      </w:r>
    </w:p>
    <w:p w14:paraId="1DBA3CB3">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1.服务方案</w:t>
      </w:r>
      <w:r>
        <w:rPr>
          <w:rFonts w:hint="eastAsia" w:ascii="仿宋_GB2312" w:hAnsi="宋体" w:eastAsia="仿宋_GB2312"/>
          <w:sz w:val="32"/>
          <w:szCs w:val="32"/>
          <w:lang w:eastAsia="zh-CN"/>
        </w:rPr>
        <w:t>；</w:t>
      </w:r>
    </w:p>
    <w:p w14:paraId="54FEDA69">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2.人员安排</w:t>
      </w:r>
      <w:r>
        <w:rPr>
          <w:rFonts w:hint="eastAsia" w:ascii="仿宋_GB2312" w:hAnsi="宋体" w:eastAsia="仿宋_GB2312"/>
          <w:sz w:val="32"/>
          <w:szCs w:val="32"/>
          <w:lang w:eastAsia="zh-CN"/>
        </w:rPr>
        <w:t>；</w:t>
      </w:r>
    </w:p>
    <w:p w14:paraId="671D5099">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3.保障措施</w:t>
      </w:r>
      <w:r>
        <w:rPr>
          <w:rFonts w:hint="eastAsia" w:ascii="仿宋_GB2312" w:hAnsi="宋体" w:eastAsia="仿宋_GB2312"/>
          <w:sz w:val="32"/>
          <w:szCs w:val="32"/>
          <w:lang w:eastAsia="zh-CN"/>
        </w:rPr>
        <w:t>；</w:t>
      </w:r>
    </w:p>
    <w:p w14:paraId="6C9FCA50">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4.比选文件要求或供应商认为应附的其他材料。</w:t>
      </w:r>
    </w:p>
    <w:sectPr>
      <w:footerReference r:id="rId4" w:type="default"/>
      <w:pgSz w:w="11906" w:h="16838"/>
      <w:pgMar w:top="2098" w:right="1474" w:bottom="1984" w:left="1587" w:header="851" w:footer="992" w:gutter="0"/>
      <w:pgNumType w:start="1"/>
      <w:cols w:space="0" w:num="1"/>
      <w:titlePg/>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BAC8781-F08C-4210-98D0-276505C23DF5}"/>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452CB4E7-F739-46FE-A10F-DF52AA1D6D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0875A679-6DC6-4875-8649-4E100C21F312}"/>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4" w:fontKey="{D55ACDF2-B9E3-4357-B802-41ADB829A82B}"/>
  </w:font>
  <w:font w:name="仿宋_GB2312">
    <w:panose1 w:val="02010609030101010101"/>
    <w:charset w:val="86"/>
    <w:family w:val="modern"/>
    <w:pitch w:val="default"/>
    <w:sig w:usb0="00000001" w:usb1="080E0000" w:usb2="00000000" w:usb3="00000000" w:csb0="00040000" w:csb1="00000000"/>
    <w:embedRegular r:id="rId5" w:fontKey="{1A6A21D1-2E69-4557-81A3-9C1840CB9FC1}"/>
  </w:font>
  <w:font w:name="楷体_GB2312">
    <w:altName w:val="楷体"/>
    <w:panose1 w:val="02010609030101010101"/>
    <w:charset w:val="86"/>
    <w:family w:val="modern"/>
    <w:pitch w:val="default"/>
    <w:sig w:usb0="00000000" w:usb1="00000000" w:usb2="00000000" w:usb3="00000000" w:csb0="00040000" w:csb1="00000000"/>
    <w:embedRegular r:id="rId6" w:fontKey="{DB412EE5-90F1-49E5-981F-B2D3164A454D}"/>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6533722"/>
    </w:sdtPr>
    <w:sdtEndPr>
      <w:rPr>
        <w:rFonts w:ascii="宋体" w:hAnsi="宋体" w:eastAsia="宋体"/>
        <w:sz w:val="28"/>
        <w:szCs w:val="28"/>
      </w:rPr>
    </w:sdtEndPr>
    <w:sdtContent>
      <w:p w14:paraId="513D8CEB">
        <w:pPr>
          <w:pStyle w:val="7"/>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9873082"/>
    </w:sdtPr>
    <w:sdtEndPr>
      <w:rPr>
        <w:rFonts w:ascii="宋体" w:hAnsi="宋体" w:eastAsia="宋体"/>
        <w:sz w:val="28"/>
        <w:szCs w:val="28"/>
      </w:rPr>
    </w:sdtEndPr>
    <w:sdtContent>
      <w:p w14:paraId="4AC2142B">
        <w:pPr>
          <w:pStyle w:val="7"/>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21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c3NDQxNTA0NbCwMDRR0lEKTi0uzszPAykwqgUAfWnJoCwAAAA="/>
  </w:docVars>
  <w:rsids>
    <w:rsidRoot w:val="000B6F2E"/>
    <w:rsid w:val="000132FD"/>
    <w:rsid w:val="00045E1A"/>
    <w:rsid w:val="00093309"/>
    <w:rsid w:val="000B6F2E"/>
    <w:rsid w:val="00110B13"/>
    <w:rsid w:val="00153357"/>
    <w:rsid w:val="00171315"/>
    <w:rsid w:val="00194D49"/>
    <w:rsid w:val="0019653D"/>
    <w:rsid w:val="001F7ECC"/>
    <w:rsid w:val="00212FD9"/>
    <w:rsid w:val="00255DDC"/>
    <w:rsid w:val="002D5C82"/>
    <w:rsid w:val="003040D5"/>
    <w:rsid w:val="003274A6"/>
    <w:rsid w:val="00350FDD"/>
    <w:rsid w:val="00356A1F"/>
    <w:rsid w:val="003632F3"/>
    <w:rsid w:val="00384FCF"/>
    <w:rsid w:val="003D5120"/>
    <w:rsid w:val="00477F00"/>
    <w:rsid w:val="00486446"/>
    <w:rsid w:val="004F618C"/>
    <w:rsid w:val="00521C4E"/>
    <w:rsid w:val="00522D1E"/>
    <w:rsid w:val="00576053"/>
    <w:rsid w:val="00584539"/>
    <w:rsid w:val="005B342A"/>
    <w:rsid w:val="005E3EB4"/>
    <w:rsid w:val="00632629"/>
    <w:rsid w:val="006609E8"/>
    <w:rsid w:val="006668FE"/>
    <w:rsid w:val="006910D3"/>
    <w:rsid w:val="00754507"/>
    <w:rsid w:val="007E7CA9"/>
    <w:rsid w:val="00852A79"/>
    <w:rsid w:val="00864667"/>
    <w:rsid w:val="008B70FF"/>
    <w:rsid w:val="008E218A"/>
    <w:rsid w:val="008F1705"/>
    <w:rsid w:val="008F1AE1"/>
    <w:rsid w:val="00952F84"/>
    <w:rsid w:val="00A07EC1"/>
    <w:rsid w:val="00AD62B1"/>
    <w:rsid w:val="00AF142B"/>
    <w:rsid w:val="00AF70C5"/>
    <w:rsid w:val="00B02E3D"/>
    <w:rsid w:val="00B13F50"/>
    <w:rsid w:val="00B45783"/>
    <w:rsid w:val="00B733CD"/>
    <w:rsid w:val="00BA0CE1"/>
    <w:rsid w:val="00C25F76"/>
    <w:rsid w:val="00C26C75"/>
    <w:rsid w:val="00C858CA"/>
    <w:rsid w:val="00D85204"/>
    <w:rsid w:val="00D90063"/>
    <w:rsid w:val="00DA74F8"/>
    <w:rsid w:val="00DB3957"/>
    <w:rsid w:val="00DF13A6"/>
    <w:rsid w:val="00E507B6"/>
    <w:rsid w:val="00E655D6"/>
    <w:rsid w:val="00E93C3E"/>
    <w:rsid w:val="00EC18BD"/>
    <w:rsid w:val="00ED247E"/>
    <w:rsid w:val="00F03D6B"/>
    <w:rsid w:val="00F06AAD"/>
    <w:rsid w:val="00FF0242"/>
    <w:rsid w:val="06121EDC"/>
    <w:rsid w:val="06A62FF1"/>
    <w:rsid w:val="07156B89"/>
    <w:rsid w:val="0B114041"/>
    <w:rsid w:val="10134CDE"/>
    <w:rsid w:val="1169201D"/>
    <w:rsid w:val="129F1586"/>
    <w:rsid w:val="145276F1"/>
    <w:rsid w:val="15196389"/>
    <w:rsid w:val="156921FC"/>
    <w:rsid w:val="198923A7"/>
    <w:rsid w:val="19C55354"/>
    <w:rsid w:val="1BB867CA"/>
    <w:rsid w:val="2078587E"/>
    <w:rsid w:val="20D5233B"/>
    <w:rsid w:val="211749F9"/>
    <w:rsid w:val="21CE077D"/>
    <w:rsid w:val="22906387"/>
    <w:rsid w:val="275B0FEC"/>
    <w:rsid w:val="276A03D9"/>
    <w:rsid w:val="29C01E73"/>
    <w:rsid w:val="2D3D14AD"/>
    <w:rsid w:val="377E2C49"/>
    <w:rsid w:val="3CD908A0"/>
    <w:rsid w:val="3E1E11CE"/>
    <w:rsid w:val="3F967466"/>
    <w:rsid w:val="40727D40"/>
    <w:rsid w:val="434D33A0"/>
    <w:rsid w:val="43A24383"/>
    <w:rsid w:val="43DD7223"/>
    <w:rsid w:val="48726BB5"/>
    <w:rsid w:val="4DFD1619"/>
    <w:rsid w:val="52401668"/>
    <w:rsid w:val="54AB7A77"/>
    <w:rsid w:val="557357A1"/>
    <w:rsid w:val="59A5248E"/>
    <w:rsid w:val="5BFF4BA5"/>
    <w:rsid w:val="5D0F6C92"/>
    <w:rsid w:val="5D2F44EC"/>
    <w:rsid w:val="5ECF8D3A"/>
    <w:rsid w:val="6372437D"/>
    <w:rsid w:val="66E26898"/>
    <w:rsid w:val="6A172FA7"/>
    <w:rsid w:val="6B0A231C"/>
    <w:rsid w:val="6B113FCF"/>
    <w:rsid w:val="6BFFF1AE"/>
    <w:rsid w:val="6C851B7F"/>
    <w:rsid w:val="6CFA7F2C"/>
    <w:rsid w:val="6E5E3714"/>
    <w:rsid w:val="71610888"/>
    <w:rsid w:val="71D609E2"/>
    <w:rsid w:val="71FF4EA6"/>
    <w:rsid w:val="7856426C"/>
    <w:rsid w:val="7A5D289B"/>
    <w:rsid w:val="7E9E82CF"/>
    <w:rsid w:val="7F9B7502"/>
    <w:rsid w:val="AF5FA4D8"/>
    <w:rsid w:val="EE17F527"/>
    <w:rsid w:val="EFE9D35A"/>
    <w:rsid w:val="F7FF678A"/>
    <w:rsid w:val="F9F94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widowControl/>
      <w:spacing w:after="100" w:line="259" w:lineRule="auto"/>
      <w:ind w:left="220"/>
      <w:jc w:val="left"/>
    </w:pPr>
    <w:rPr>
      <w:rFonts w:cs="Times New Roman"/>
      <w:kern w:val="0"/>
      <w:sz w:val="22"/>
    </w:rPr>
  </w:style>
  <w:style w:type="paragraph" w:styleId="4">
    <w:name w:val="Body Text Indent"/>
    <w:basedOn w:val="1"/>
    <w:qFormat/>
    <w:uiPriority w:val="0"/>
    <w:pPr>
      <w:spacing w:line="360" w:lineRule="auto"/>
      <w:ind w:firstLine="480" w:firstLineChars="200"/>
    </w:pPr>
    <w:rPr>
      <w:sz w:val="24"/>
    </w:rPr>
  </w:style>
  <w:style w:type="paragraph" w:styleId="5">
    <w:name w:val="toc 3"/>
    <w:basedOn w:val="1"/>
    <w:next w:val="1"/>
    <w:unhideWhenUsed/>
    <w:qFormat/>
    <w:uiPriority w:val="39"/>
    <w:pPr>
      <w:widowControl/>
      <w:spacing w:after="100" w:line="259" w:lineRule="auto"/>
      <w:ind w:left="440"/>
      <w:jc w:val="left"/>
    </w:pPr>
    <w:rPr>
      <w:rFonts w:cs="Times New Roman"/>
      <w:kern w:val="0"/>
      <w:sz w:val="22"/>
    </w:rPr>
  </w:style>
  <w:style w:type="paragraph" w:styleId="6">
    <w:name w:val="Plain Text"/>
    <w:basedOn w:val="1"/>
    <w:next w:val="1"/>
    <w:unhideWhenUsed/>
    <w:qFormat/>
    <w:uiPriority w:val="99"/>
    <w:rPr>
      <w:rFonts w:ascii="宋体" w:hAnsi="Courier New"/>
      <w:szCs w:val="24"/>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tabs>
        <w:tab w:val="right" w:leader="dot" w:pos="8296"/>
      </w:tabs>
      <w:adjustRightInd w:val="0"/>
      <w:snapToGrid w:val="0"/>
      <w:spacing w:after="100" w:line="360" w:lineRule="auto"/>
      <w:jc w:val="left"/>
    </w:pPr>
    <w:rPr>
      <w:rFonts w:cs="Times New Roman"/>
      <w:kern w:val="0"/>
      <w:sz w:val="22"/>
    </w:rPr>
  </w:style>
  <w:style w:type="character" w:styleId="12">
    <w:name w:val="Strong"/>
    <w:basedOn w:val="11"/>
    <w:qFormat/>
    <w:uiPriority w:val="22"/>
    <w:rPr>
      <w:b/>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paragraph" w:customStyle="1" w:styleId="16">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7">
    <w:name w:val="标题 1 字符"/>
    <w:basedOn w:val="11"/>
    <w:link w:val="3"/>
    <w:qFormat/>
    <w:uiPriority w:val="9"/>
    <w:rPr>
      <w:b/>
      <w:bCs/>
      <w:kern w:val="44"/>
      <w:sz w:val="44"/>
      <w:szCs w:val="44"/>
    </w:rPr>
  </w:style>
  <w:style w:type="paragraph" w:customStyle="1" w:styleId="18">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19">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5a8798f4-5613-458e-b268-20010572c54f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2EA7EAE0</paraID>
      <start>0</start>
      <end>3</end>
      <status>modified</status>
      <modifiedWord>（一）</modifiedWord>
      <trackRevisions>false</trackRevisions>
    </reviewItem>
    <reviewItem>
      <errorID>fe1ded75-7523-4910-bbdc-5cf778522034</errorID>
      <errorWord>:</errorWord>
      <group>L1_Format</group>
      <groupName>格式问题</groupName>
      <ability>L2_HalfPunc_CN</ability>
      <abilityName>全半角问题</abilityName>
      <candidateList>
        <item>：</item>
      </candidateList>
      <explain>文本全半角错误。</explain>
      <paraID>1EC35ECE</paraID>
      <start>7</start>
      <end>8</end>
      <status>modified</status>
      <modifiedWord>：</modifiedWord>
      <trackRevisions>false</trackRevisions>
    </reviewItem>
    <reviewItem>
      <errorID>6ad08ebc-f04b-4640-9335-bf08e9e0a13a</errorID>
      <errorWord>签订之日起至</errorWord>
      <group>L1_Word</group>
      <groupName>字词问题</groupName>
      <ability>L2_Typo</ability>
      <abilityName>字词错误</abilityName>
      <candidateList>
        <item>签订之日起</item>
      </candidateList>
      <explain/>
      <paraID>1EC35ECE</paraID>
      <start>11</start>
      <end>17</end>
      <status>ignored</status>
      <modifiedWord/>
      <trackRevisions>false</trackRevisions>
    </reviewItem>
    <reviewItem>
      <errorID>6bf07e88-0ba7-4895-bdcc-c710fdcdac4b</errorID>
      <errorWord>所必须的</errorWord>
      <group>L1_Word</group>
      <groupName>字词问题</groupName>
      <ability>L2_Typo</ability>
      <abilityName>字词错误</abilityName>
      <candidateList>
        <item>所必需的</item>
      </candidateList>
      <explain/>
      <paraID>51D8AB55</paraID>
      <start>8</start>
      <end>12</end>
      <status>ignored</status>
      <modifiedWord/>
      <trackRevisions>false</trackRevisions>
    </reviewItem>
    <reviewItem>
      <errorID>561be256-b160-4fe6-85dc-75186812ae52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8BE6445</paraID>
      <start>0</start>
      <end>3</end>
      <status>modified</status>
      <modifiedWord>（三）</modifiedWord>
      <trackRevisions>false</trackRevisions>
    </reviewItem>
    <reviewItem>
      <errorID>30e48b83-a086-4c27-8152-2d942ef29850</errorID>
      <errorWord>:</errorWord>
      <group>L1_Format</group>
      <groupName>格式问题</groupName>
      <ability>L2_HalfPunc_CN</ability>
      <abilityName>全半角问题</abilityName>
      <candidateList>
        <item>：</item>
      </candidateList>
      <explain>文本全半角错误。</explain>
      <paraID>446B540A</paraID>
      <start>12</start>
      <end>13</end>
      <status>modified</status>
      <modifiedWord>：</modifiedWord>
      <trackRevisions>false</trackRevisions>
    </reviewItem>
    <reviewItem>
      <errorID>c1d45e6a-c1fc-4634-93bb-618827e42c4c</errorID>
      <errorWord>:</errorWord>
      <group>L1_Format</group>
      <groupName>格式问题</groupName>
      <ability>L2_HalfPunc_CN</ability>
      <abilityName>全半角问题</abilityName>
      <candidateList>
        <item>：</item>
      </candidateList>
      <explain>文本全半角错误。</explain>
      <paraID>36FE5366</paraID>
      <start>10</start>
      <end>11</end>
      <status>modified</status>
      <modifiedWord>：</modifiedWord>
      <trackRevisions>false</trackRevisions>
    </reviewItem>
    <reviewItem>
      <errorID>c373b403-3262-441d-8c0c-db27ac1b2ff4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4BCE56D1</paraID>
      <start>0</start>
      <end>3</end>
      <status>modified</status>
      <modifiedWord>（一）</modifiedWord>
      <trackRevisions>false</trackRevisions>
    </reviewItem>
    <reviewItem>
      <errorID>ba231f60-1ed5-4a87-a361-f5767d5cb0dd</errorID>
      <errorWord>(</errorWord>
      <group>L1_Format</group>
      <groupName>格式问题</groupName>
      <ability>L2_HalfPunc_CN</ability>
      <abilityName>全半角问题</abilityName>
      <candidateList>
        <item>（</item>
      </candidateList>
      <explain>文本全半角错误。</explain>
      <paraID>1AD337E2</paraID>
      <start>6</start>
      <end>7</end>
      <status>modified</status>
      <modifiedWord>（</modifiedWord>
      <trackRevisions>false</trackRevisions>
    </reviewItem>
    <reviewItem>
      <errorID>6c13241b-8657-4d7f-9539-ec1019183d3b</errorID>
      <errorWord>)</errorWord>
      <group>L1_Format</group>
      <groupName>格式问题</groupName>
      <ability>L2_HalfPunc_CN</ability>
      <abilityName>全半角问题</abilityName>
      <candidateList>
        <item>）</item>
      </candidateList>
      <explain>文本全半角错误。</explain>
      <paraID>1AD337E2</paraID>
      <start>9</start>
      <end>10</end>
      <status>modified</status>
      <modifiedWord>）</modifiedWord>
      <trackRevisions>false</trackRevisions>
    </reviewItem>
    <reviewItem>
      <errorID>e48b6cd6-0bc6-4522-b613-2c1ec33fbe88</errorID>
      <errorWord>合算</errorWord>
      <group>L1_Word</group>
      <groupName>字词问题</groupName>
      <ability>L2_Typo</ability>
      <abilityName>字词错误</abilityName>
      <candidateList>
        <item>核算</item>
      </candidateList>
      <explain/>
      <paraID> C1BB583</paraID>
      <start>13</start>
      <end>15</end>
      <status>ignored</status>
      <modifiedWord/>
      <trackRevisions>false</trackRevisions>
    </reviewItem>
    <reviewItem>
      <errorID>7aee258f-4eba-4704-ba76-3ad3474684ab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58D429DE</paraID>
      <start>0</start>
      <end>3</end>
      <status>modified</status>
      <modifiedWord>（二）</modifiedWord>
      <trackRevisions>false</trackRevisions>
    </reviewItem>
    <reviewItem>
      <errorID>d547d646-e2b5-4368-901b-8d1e3a91a4ba</errorID>
      <errorWord>2</errorWord>
      <group>L1_Punc</group>
      <groupName>标点问题</groupName>
      <ability>L2_Punc_CN</ability>
      <abilityName>标点符号问题</abilityName>
      <candidateList>
        <item>；2</item>
      </candidateList>
      <explain/>
      <paraID>5DE8F616</paraID>
      <start>15</start>
      <end>16</end>
      <status>ignored</status>
      <modifiedWord/>
      <trackRevisions>false</trackRevisions>
    </reviewItem>
    <reviewItem>
      <errorID>34173396-db4e-4a9d-8a97-3dbe811a6f88</errorID>
      <errorWord>:</errorWord>
      <group>L1_Format</group>
      <groupName>格式问题</groupName>
      <ability>L2_HalfPunc_CN</ability>
      <abilityName>全半角问题</abilityName>
      <candidateList>
        <item>：</item>
      </candidateList>
      <explain>文本全半角错误。</explain>
      <paraID>4BAFECF2</paraID>
      <start>20</start>
      <end>21</end>
      <status>modified</status>
      <modifiedWord>：</modifiedWord>
      <trackRevisions>false</trackRevisions>
    </reviewItem>
    <reviewItem>
      <errorID>764d301d-501d-4762-b590-9e009ba3257b</errorID>
      <errorWord>可执行</errorWord>
      <group>L1_Word</group>
      <groupName>字词问题</groupName>
      <ability>L2_Typo</ability>
      <abilityName>字词错误</abilityName>
      <candidateList>
        <item>可执行性</item>
      </candidateList>
      <explain/>
      <paraID>161BAD5E</paraID>
      <start>80</start>
      <end>83</end>
      <status>ignored</status>
      <modifiedWord/>
      <trackRevisions>false</trackRevisions>
    </reviewItem>
    <reviewItem>
      <errorID>a3456ad8-2ec0-4530-956e-08d55267757a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161BAD5E</paraID>
      <start>92</start>
      <end>93</end>
      <status>ignored</status>
      <modifiedWord/>
      <trackRevisions>false</trackRevisions>
    </reviewItem>
    <reviewItem>
      <errorID>838ab8df-ef10-4630-ab7d-c8c390d51e04</errorID>
      <errorWord>，</errorWord>
      <group>L1_Word</group>
      <groupName>字词问题</groupName>
      <ability>L2_Typo</ability>
      <abilityName>字词错误</abilityName>
      <candidateList>
        <item>，具</item>
      </candidateList>
      <explain/>
      <paraID>161BAD5E</paraID>
      <start>108</start>
      <end>109</end>
      <status>ignored</status>
      <modifiedWord/>
      <trackRevisions>false</trackRevisions>
    </reviewItem>
    <reviewItem>
      <errorID>30c4b42c-4440-42f5-9ed6-db32974dae40</errorID>
      <errorWord>合理服务方案</errorWord>
      <group>L1_Grammar</group>
      <groupName>语法问题</groupName>
      <ability>L2_Grammar</ability>
      <abilityName>语法错误</abilityName>
      <candidateList>
        <item>合理</item>
      </candidateList>
      <explain/>
      <paraID>161BAD5E</paraID>
      <start>153</start>
      <end>159</end>
      <status>ignored</status>
      <modifiedWord/>
      <trackRevisions>false</trackRevisions>
    </reviewItem>
    <reviewItem>
      <errorID>65bf2639-0d7d-42fb-99db-f1364eb71e94</errorID>
      <errorWord>可执行</errorWord>
      <group>L1_Word</group>
      <groupName>字词问题</groupName>
      <ability>L2_Typo</ability>
      <abilityName>字词错误</abilityName>
      <candidateList>
        <item>可执行性</item>
      </candidateList>
      <explain/>
      <paraID>161BAD5E</paraID>
      <start>181</start>
      <end>184</end>
      <status>ignored</status>
      <modifiedWord/>
      <trackRevisions>false</trackRevisions>
    </reviewItem>
    <reviewItem>
      <errorID>1a2c66fa-3100-4854-b664-4f5edf1e2eb5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161BAD5E</paraID>
      <start>193</start>
      <end>194</end>
      <status>ignored</status>
      <modifiedWord/>
      <trackRevisions>false</trackRevisions>
    </reviewItem>
    <reviewItem>
      <errorID>fdf88afd-6027-48a8-ac27-a1926e015d87</errorID>
      <errorWord>完整</errorWord>
      <group>L1_Word</group>
      <groupName>字词问题</groupName>
      <ability>L2_Typo</ability>
      <abilityName>字词错误</abilityName>
      <candidateList>
        <item>完整性</item>
      </candidateList>
      <explain/>
      <paraID>161BAD5E</paraID>
      <start>220</start>
      <end>223</end>
      <status>modified</status>
      <modifiedWord>完整性</modifiedWord>
      <trackRevisions>false</trackRevisions>
    </reviewItem>
    <reviewItem>
      <errorID>507d0e33-d5fb-4ef0-a267-3e0f82684e80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161BAD5E</paraID>
      <start>281</start>
      <end>282</end>
      <status>ignored</status>
      <modifiedWord/>
      <trackRevisions>false</trackRevisions>
    </reviewItem>
    <reviewItem>
      <errorID>74712836-d8d2-44ad-a932-ab771f7e589e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181F191</paraID>
      <start>0</start>
      <end>3</end>
      <status>modified</status>
      <modifiedWord>（三）</modifiedWord>
      <trackRevisions>false</trackRevisions>
    </reviewItem>
    <reviewItem>
      <errorID>090d8575-6520-45c6-bf69-3d2b5c7e5560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18E9546E</paraID>
      <start>0</start>
      <end>3</end>
      <status>modified</status>
      <modifiedWord>（四）</modifiedWord>
      <trackRevisions>false</trackRevisions>
    </reviewItem>
    <reviewItem>
      <errorID>8138f286-b396-4940-baa1-2c74909517ad</errorID>
      <errorWord>:</errorWord>
      <group>L1_Format</group>
      <groupName>格式问题</groupName>
      <ability>L2_HalfPunc_CN</ability>
      <abilityName>全半角问题</abilityName>
      <candidateList>
        <item>：</item>
      </candidateList>
      <explain>文本全半角错误。</explain>
      <paraID>72366F9D</paraID>
      <start>19</start>
      <end>20</end>
      <status>modified</status>
      <modifiedWord>：</modifiedWord>
      <trackRevisions>false</trackRevisions>
    </reviewItem>
    <reviewItem>
      <errorID>5dbcf60a-b4a2-4b22-a4db-3b23dc9a55fd</errorID>
      <errorWord>(</errorWord>
      <group>L1_Format</group>
      <groupName>格式问题</groupName>
      <ability>L2_HalfPunc_CN</ability>
      <abilityName>全半角问题</abilityName>
      <candidateList>
        <item>（</item>
      </candidateList>
      <explain>文本全半角错误。</explain>
      <paraID>2D9549DD</paraID>
      <start>6</start>
      <end>7</end>
      <status>modified</status>
      <modifiedWord>（</modifiedWord>
      <trackRevisions>false</trackRevisions>
    </reviewItem>
    <reviewItem>
      <errorID>141916fe-f426-44aa-925a-48f3296c705a</errorID>
      <errorWord>)</errorWord>
      <group>L1_Format</group>
      <groupName>格式问题</groupName>
      <ability>L2_HalfPunc_CN</ability>
      <abilityName>全半角问题</abilityName>
      <candidateList>
        <item>）</item>
      </candidateList>
      <explain>文本全半角错误。</explain>
      <paraID>2D9549DD</paraID>
      <start>13</start>
      <end>14</end>
      <status>modified</status>
      <modifiedWord>）</modifiedWord>
      <trackRevisions>false</trackRevisions>
    </reviewItem>
    <reviewItem>
      <errorID>c9ce5dcc-7e79-4db5-b91a-a1e2fea33431</errorID>
      <errorWord>复印件加盖</errorWord>
      <group>L1_Word</group>
      <groupName>字词问题</groupName>
      <ability>L2_Typo</ability>
      <abilityName>字词错误</abilityName>
      <candidateList>
        <item>复印件并加盖</item>
      </candidateList>
      <explain/>
      <paraID> 8654FA2</paraID>
      <start>12</start>
      <end>17</end>
      <status>ignored</status>
      <modifiedWord/>
      <trackRevisions>false</trackRevisions>
    </reviewItem>
    <reviewItem>
      <errorID>caccec32-968b-4dd1-ac95-73f6f70bd0c2</errorID>
      <errorWord>;</errorWord>
      <group>L1_Format</group>
      <groupName>格式问题</groupName>
      <ability>L2_HalfPunc_CN</ability>
      <abilityName>全半角问题</abilityName>
      <candidateList>
        <item>；</item>
      </candidateList>
      <explain>文本全半角错误。</explain>
      <paraID> 8654FA2</paraID>
      <start>20</start>
      <end>21</end>
      <status>modified</status>
      <modifiedWord>；</modifiedWord>
      <trackRevisions>false</trackRevisions>
    </reviewItem>
    <reviewItem>
      <errorID>fd20728f-a0d7-456a-a7a8-877e57f7143f</errorID>
      <errorWord>;</errorWord>
      <group>L1_Format</group>
      <groupName>格式问题</groupName>
      <ability>L2_HalfPunc_CN</ability>
      <abilityName>全半角问题</abilityName>
      <candidateList>
        <item>；</item>
      </candidateList>
      <explain>文本全半角错误。</explain>
      <paraID>7450BE21</paraID>
      <start>7</start>
      <end>8</end>
      <status>modified</status>
      <modifiedWord>；</modifiedWord>
      <trackRevisions>false</trackRevisions>
    </reviewItem>
    <reviewItem>
      <errorID>3c4dc1f9-52e6-49bb-aba3-3af02f05d313</errorID>
      <errorWord>;</errorWord>
      <group>L1_Format</group>
      <groupName>格式问题</groupName>
      <ability>L2_HalfPunc_CN</ability>
      <abilityName>全半角问题</abilityName>
      <candidateList>
        <item>；</item>
      </candidateList>
      <explain>文本全半角错误。</explain>
      <paraID>1D759106</paraID>
      <start>11</start>
      <end>12</end>
      <status>modified</status>
      <modifiedWord>；</modifiedWord>
      <trackRevisions>false</trackRevisions>
    </reviewItem>
    <reviewItem>
      <errorID>b947dac4-8571-4214-9287-83fe882725d6</errorID>
      <errorWord>复印件加盖</errorWord>
      <group>L1_Word</group>
      <groupName>字词问题</groupName>
      <ability>L2_Typo</ability>
      <abilityName>字词错误</abilityName>
      <candidateList>
        <item>复印件并加盖</item>
      </candidateList>
      <explain/>
      <paraID>4118F66C</paraID>
      <start>8</start>
      <end>13</end>
      <status>ignored</status>
      <modifiedWord/>
      <trackRevisions>false</trackRevisions>
    </reviewItem>
    <reviewItem>
      <errorID>2704bc5f-55a1-4d49-8b10-a0f60d160ce9</errorID>
      <errorWord>;</errorWord>
      <group>L1_Format</group>
      <groupName>格式问题</groupName>
      <ability>L2_HalfPunc_CN</ability>
      <abilityName>全半角问题</abilityName>
      <candidateList>
        <item>；</item>
      </candidateList>
      <explain>文本全半角错误。</explain>
      <paraID>4118F66C</paraID>
      <start>16</start>
      <end>17</end>
      <status>modified</status>
      <modifiedWord>；</modifiedWord>
      <trackRevisions>false</trackRevisions>
    </reviewItem>
    <reviewItem>
      <errorID>87f4bcdd-8ad2-47fc-ad54-5ce4bc9f41da</errorID>
      <errorWord>;</errorWord>
      <group>L1_Format</group>
      <groupName>格式问题</groupName>
      <ability>L2_HalfPunc_CN</ability>
      <abilityName>全半角问题</abilityName>
      <candidateList>
        <item>；</item>
      </candidateList>
      <explain>文本全半角错误。</explain>
      <paraID>4A008968</paraID>
      <start>7</start>
      <end>8</end>
      <status>modified</status>
      <modifiedWord>；</modifiedWord>
      <trackRevisions>false</trackRevisions>
    </reviewItem>
    <reviewItem>
      <errorID>c1ac04dc-4974-4907-9940-7ddcd0e38c9b</errorID>
      <errorWord>;</errorWord>
      <group>L1_Format</group>
      <groupName>格式问题</groupName>
      <ability>L2_HalfPunc_CN</ability>
      <abilityName>全半角问题</abilityName>
      <candidateList>
        <item>；</item>
      </candidateList>
      <explain>文本全半角错误。</explain>
      <paraID>43E59A95</paraID>
      <start>7</start>
      <end>8</end>
      <status>modified</status>
      <modifiedWord>；</modifiedWord>
      <trackRevisions>false</trackRevisions>
    </reviewItem>
    <reviewItem>
      <errorID>14a655b1-db0b-4f54-b79c-526e344b5939</errorID>
      <errorWord>;</errorWord>
      <group>L1_Format</group>
      <groupName>格式问题</groupName>
      <ability>L2_HalfPunc_CN</ability>
      <abilityName>全半角问题</abilityName>
      <candidateList>
        <item>；</item>
      </candidateList>
      <explain>文本全半角错误。</explain>
      <paraID>1DBA3CB3</paraID>
      <start>6</start>
      <end>7</end>
      <status>modified</status>
      <modifiedWord>；</modifiedWord>
      <trackRevisions>false</trackRevisions>
    </reviewItem>
    <reviewItem>
      <errorID>7ad9ffc9-cbc1-453b-a474-314d82f2b52e</errorID>
      <errorWord>;</errorWord>
      <group>L1_Format</group>
      <groupName>格式问题</groupName>
      <ability>L2_HalfPunc_CN</ability>
      <abilityName>全半角问题</abilityName>
      <candidateList>
        <item>；</item>
      </candidateList>
      <explain>文本全半角错误。</explain>
      <paraID>54FEDA69</paraID>
      <start>6</start>
      <end>7</end>
      <status>modified</status>
      <modifiedWord>；</modifiedWord>
      <trackRevisions>false</trackRevisions>
    </reviewItem>
    <reviewItem>
      <errorID>e00fca2d-6472-4a97-baf7-871cc495563c</errorID>
      <errorWord>;</errorWord>
      <group>L1_Format</group>
      <groupName>格式问题</groupName>
      <ability>L2_HalfPunc_CN</ability>
      <abilityName>全半角问题</abilityName>
      <candidateList>
        <item>；</item>
      </candidateList>
      <explain>文本全半角错误。</explain>
      <paraID>671D5099</paraID>
      <start>6</start>
      <end>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3d6b7da1-0d2c-4a2e-a287-5c30123fb1dd}">
  <ds:schemaRefs/>
</ds:datastoreItem>
</file>

<file path=docProps/app.xml><?xml version="1.0" encoding="utf-8"?>
<Properties xmlns="http://schemas.openxmlformats.org/officeDocument/2006/extended-properties" xmlns:vt="http://schemas.openxmlformats.org/officeDocument/2006/docPropsVTypes">
  <Template>Normal</Template>
  <Pages>8</Pages>
  <Words>2625</Words>
  <Characters>2744</Characters>
  <Lines>25</Lines>
  <Paragraphs>7</Paragraphs>
  <TotalTime>25</TotalTime>
  <ScaleCrop>false</ScaleCrop>
  <LinksUpToDate>false</LinksUpToDate>
  <CharactersWithSpaces>2774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2022-11-24T23:50:00Z</dcterms:created>
  <dc:creator>贾 晓琪</dc:creator>
  <cp:lastModifiedBy>乞卫桦</cp:lastModifiedBy>
  <cp:lastPrinted>2026-08-20T02:58:00Z</cp:lastPrinted>
  <dcterms:modified xsi:type="dcterms:W3CDTF">2026-08-26T08:18:47Z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eyJoZGlkIjoiN2YzNjBkOTgyNWQ1YTMxYzM3MzMwNWFiODNmOWIzYWMiLCJ1c2VySWQiOiIyNjgxMzEwMTUifQ==</vt:lpwstr>
  </property>
  <property fmtid="{D5CDD505-2E9C-101B-9397-08002B2CF9AE}" pid="4" name="ICV">
    <vt:lpwstr>25CCE6533C574FB3B7683EEC6BB80ED0_13</vt:lpwstr>
  </property>
</Properties>
</file>